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rPr>
                <w:rFonts w:ascii="Arial" w:hAnsi="Arial" w:cs="Arial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  <w:lang w:val="en-US" w:eastAsia="zh-CN"/>
              </w:rPr>
              <w:t>安徽磐谷高科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</w:rPr>
              <w:t>有限公司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  <w:lang w:val="en-US" w:eastAsia="zh-CN"/>
              </w:rPr>
              <w:t>新材料产业园一期项目部分混凝土地坪拆除工程废料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48"/>
                <w:szCs w:val="48"/>
              </w:rPr>
              <w:t>竞价报价单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48"/>
                <w:szCs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安徽磐谷高科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有限公司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新材料产业园一期项目部分混凝土地坪拆除工程废料项目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2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大写（元）：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2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小写（元）：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年       月  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报价单位（签字盖章）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snapToGrid w:val="0"/>
        <w:spacing w:line="500" w:lineRule="exact"/>
        <w:ind w:right="428" w:rightChars="204" w:firstLine="645"/>
        <w:jc w:val="right"/>
        <w:rPr>
          <w:rFonts w:ascii="Arial" w:hAnsi="Arial" w:cs="Arial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921D9"/>
    <w:rsid w:val="001A0A79"/>
    <w:rsid w:val="00640CD6"/>
    <w:rsid w:val="200629AB"/>
    <w:rsid w:val="2CF37656"/>
    <w:rsid w:val="3CA921D9"/>
    <w:rsid w:val="49031F59"/>
    <w:rsid w:val="6DD26977"/>
    <w:rsid w:val="749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2020-11-30T10:06:00Z</dcterms:created>
  <dc:creator>dillon</dc:creator>
  <cp:lastModifiedBy>Concerete</cp:lastModifiedBy>
  <dcterms:modified xsi:type="dcterms:W3CDTF">2022-03-07T14:41:29Z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AA8E764A640348E3BE82D0299A893FD4</vt:lpwstr>
  </property>
</Properties>
</file>