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color w:val="auto"/>
          <w:kern w:val="0"/>
          <w:sz w:val="44"/>
          <w:szCs w:val="44"/>
          <w:highlight w:val="none"/>
        </w:rPr>
      </w:pPr>
      <w:bookmarkStart w:id="0" w:name="_Toc246996898"/>
      <w:bookmarkStart w:id="1" w:name="_Toc324404811"/>
      <w:bookmarkStart w:id="2" w:name="_Toc15058843"/>
      <w:bookmarkStart w:id="3" w:name="_Toc247085669"/>
      <w:bookmarkStart w:id="4" w:name="_Toc296602400"/>
      <w:bookmarkStart w:id="5" w:name="_Toc461631222"/>
      <w:bookmarkStart w:id="6" w:name="_Toc506107265"/>
      <w:bookmarkStart w:id="7" w:name="OLE_LINK1"/>
      <w:bookmarkStart w:id="8" w:name="OLE_LINK5"/>
      <w:bookmarkStart w:id="9" w:name="OLE_LINK3"/>
      <w:bookmarkStart w:id="10" w:name="OLE_LINK2"/>
      <w:bookmarkStart w:id="11" w:name="OLE_LINK4"/>
    </w:p>
    <w:p>
      <w:pPr>
        <w:pStyle w:val="14"/>
        <w:ind w:firstLine="420"/>
        <w:rPr>
          <w:color w:val="auto"/>
          <w:highlight w:val="none"/>
        </w:rPr>
      </w:pPr>
    </w:p>
    <w:p>
      <w:pPr>
        <w:jc w:val="center"/>
        <w:rPr>
          <w:rFonts w:ascii="宋体" w:hAnsi="宋体"/>
          <w:color w:val="auto"/>
          <w:sz w:val="96"/>
          <w:szCs w:val="96"/>
          <w:highlight w:val="none"/>
        </w:rPr>
      </w:pPr>
      <w:r>
        <w:rPr>
          <w:rFonts w:hint="eastAsia" w:hAnsi="宋体" w:cs="宋体"/>
          <w:b/>
          <w:color w:val="auto"/>
          <w:kern w:val="0"/>
          <w:sz w:val="40"/>
          <w:szCs w:val="40"/>
          <w:highlight w:val="none"/>
          <w:lang w:eastAsia="zh-CN"/>
        </w:rPr>
        <w:t>巢东矿业环山路延伸及道路附属工程施工项目（二次）</w:t>
      </w:r>
    </w:p>
    <w:p>
      <w:pPr>
        <w:pStyle w:val="14"/>
        <w:rPr>
          <w:color w:val="auto"/>
          <w:highlight w:val="none"/>
        </w:rPr>
      </w:pPr>
    </w:p>
    <w:p>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pPr>
        <w:spacing w:line="400" w:lineRule="exact"/>
        <w:jc w:val="center"/>
        <w:rPr>
          <w:rFonts w:ascii="宋体" w:hAnsi="宋体"/>
          <w:b/>
          <w:color w:val="auto"/>
          <w:sz w:val="39"/>
          <w:highlight w:val="none"/>
        </w:rPr>
      </w:pPr>
    </w:p>
    <w:p>
      <w:pPr>
        <w:spacing w:line="400" w:lineRule="exact"/>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spacing w:line="720" w:lineRule="exact"/>
        <w:rPr>
          <w:b/>
          <w:bCs/>
          <w:color w:val="auto"/>
          <w:sz w:val="28"/>
          <w:szCs w:val="28"/>
          <w:highlight w:val="none"/>
        </w:rPr>
      </w:pPr>
    </w:p>
    <w:p>
      <w:pPr>
        <w:spacing w:before="156" w:beforeLines="50" w:after="156" w:afterLines="50" w:line="700" w:lineRule="exact"/>
        <w:jc w:val="center"/>
        <w:outlineLvl w:val="0"/>
        <w:rPr>
          <w:rFonts w:hint="eastAsia" w:ascii="宋体"/>
          <w:b/>
          <w:color w:val="auto"/>
          <w:sz w:val="32"/>
          <w:szCs w:val="32"/>
          <w:highlight w:val="none"/>
        </w:rPr>
      </w:pPr>
      <w:bookmarkStart w:id="12" w:name="_Toc32059"/>
      <w:bookmarkStart w:id="13" w:name="_Toc25057"/>
      <w:r>
        <w:rPr>
          <w:rFonts w:hint="eastAsia" w:ascii="宋体"/>
          <w:b/>
          <w:color w:val="auto"/>
          <w:sz w:val="32"/>
          <w:szCs w:val="32"/>
          <w:highlight w:val="none"/>
        </w:rPr>
        <w:t>招 标 人：</w:t>
      </w:r>
      <w:r>
        <w:rPr>
          <w:rFonts w:hint="eastAsia" w:ascii="宋体"/>
          <w:b/>
          <w:color w:val="auto"/>
          <w:sz w:val="32"/>
          <w:szCs w:val="32"/>
          <w:highlight w:val="none"/>
          <w:u w:val="single"/>
          <w:lang w:eastAsia="zh-CN"/>
        </w:rPr>
        <w:t>安徽巢东矿业高新材料有限责任公司</w:t>
      </w:r>
      <w:r>
        <w:rPr>
          <w:rFonts w:hint="eastAsia" w:ascii="宋体"/>
          <w:b/>
          <w:color w:val="auto"/>
          <w:sz w:val="32"/>
          <w:szCs w:val="32"/>
          <w:highlight w:val="none"/>
        </w:rPr>
        <w:t>（盖单位章）</w:t>
      </w:r>
      <w:bookmarkEnd w:id="12"/>
      <w:bookmarkEnd w:id="13"/>
    </w:p>
    <w:p>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月</w:t>
      </w:r>
      <w:r>
        <w:rPr>
          <w:rFonts w:hint="eastAsia" w:ascii="宋体"/>
          <w:b/>
          <w:color w:val="auto"/>
          <w:sz w:val="32"/>
          <w:szCs w:val="32"/>
          <w:highlight w:val="none"/>
          <w:u w:val="single"/>
          <w:lang w:val="en-US" w:eastAsia="zh-CN"/>
        </w:rPr>
        <w:t xml:space="preserve"> 30 </w:t>
      </w:r>
      <w:r>
        <w:rPr>
          <w:rFonts w:hint="eastAsia" w:ascii="宋体"/>
          <w:b/>
          <w:color w:val="auto"/>
          <w:sz w:val="32"/>
          <w:szCs w:val="32"/>
          <w:highlight w:val="none"/>
        </w:rPr>
        <w:t>日</w:t>
      </w:r>
    </w:p>
    <w:p>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pPr>
        <w:spacing w:line="700" w:lineRule="exact"/>
        <w:jc w:val="center"/>
        <w:rPr>
          <w:rFonts w:hint="eastAsia"/>
          <w:color w:val="auto"/>
          <w:sz w:val="44"/>
          <w:szCs w:val="44"/>
          <w:highlight w:val="none"/>
        </w:rPr>
      </w:pPr>
    </w:p>
    <w:p>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4" w:name="_Toc152045511"/>
      <w:bookmarkStart w:id="15" w:name="_Toc179632527"/>
      <w:bookmarkStart w:id="16" w:name="_Toc152042287"/>
      <w:bookmarkStart w:id="17" w:name="_Toc144974479"/>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招标公告信息..................................................1</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第一章 投标人须知.............................................4</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第二章 </w:t>
      </w:r>
      <w:r>
        <w:rPr>
          <w:rFonts w:hint="eastAsia" w:ascii="宋体" w:hAnsi="宋体" w:eastAsia="宋体" w:cs="宋体"/>
          <w:b w:val="0"/>
          <w:bCs w:val="0"/>
          <w:caps w:val="0"/>
          <w:color w:val="auto"/>
          <w:sz w:val="24"/>
          <w:szCs w:val="24"/>
          <w:highlight w:val="none"/>
          <w:lang w:val="en-US" w:eastAsia="zh-CN"/>
        </w:rPr>
        <w:t>资格审查办法</w:t>
      </w:r>
      <w:r>
        <w:rPr>
          <w:rFonts w:hint="eastAsia" w:ascii="宋体" w:hAnsi="宋体" w:cs="宋体"/>
          <w:b w:val="0"/>
          <w:bCs w:val="0"/>
          <w:caps w:val="0"/>
          <w:color w:val="auto"/>
          <w:sz w:val="24"/>
          <w:szCs w:val="24"/>
          <w:highlight w:val="none"/>
          <w:lang w:val="en-US" w:eastAsia="zh-CN"/>
        </w:rPr>
        <w:t>...........................................17</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第三章 评标办法...............................................19</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第四章 </w:t>
      </w:r>
      <w:r>
        <w:rPr>
          <w:rFonts w:hint="eastAsia" w:ascii="宋体" w:hAnsi="宋体" w:eastAsia="宋体" w:cs="宋体"/>
          <w:b w:val="0"/>
          <w:bCs w:val="0"/>
          <w:caps w:val="0"/>
          <w:color w:val="auto"/>
          <w:sz w:val="24"/>
          <w:szCs w:val="24"/>
          <w:highlight w:val="none"/>
          <w:lang w:val="en-US" w:eastAsia="zh-CN"/>
        </w:rPr>
        <w:t>合同条款及格式</w:t>
      </w:r>
      <w:r>
        <w:rPr>
          <w:rFonts w:hint="eastAsia" w:ascii="宋体" w:hAnsi="宋体" w:cs="宋体"/>
          <w:b w:val="0"/>
          <w:bCs w:val="0"/>
          <w:caps w:val="0"/>
          <w:color w:val="auto"/>
          <w:sz w:val="24"/>
          <w:szCs w:val="24"/>
          <w:highlight w:val="none"/>
          <w:lang w:val="en-US" w:eastAsia="zh-CN"/>
        </w:rPr>
        <w:t>.........................................26</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第五章 </w:t>
      </w:r>
      <w:r>
        <w:rPr>
          <w:rFonts w:hint="eastAsia" w:ascii="宋体" w:hAnsi="宋体" w:eastAsia="宋体" w:cs="宋体"/>
          <w:b w:val="0"/>
          <w:bCs w:val="0"/>
          <w:caps w:val="0"/>
          <w:color w:val="auto"/>
          <w:sz w:val="24"/>
          <w:szCs w:val="24"/>
          <w:highlight w:val="none"/>
          <w:lang w:val="en-US" w:eastAsia="zh-CN"/>
        </w:rPr>
        <w:t>工程量清单</w:t>
      </w:r>
      <w:r>
        <w:rPr>
          <w:rFonts w:hint="eastAsia" w:ascii="宋体" w:hAnsi="宋体" w:cs="宋体"/>
          <w:b w:val="0"/>
          <w:bCs w:val="0"/>
          <w:caps w:val="0"/>
          <w:color w:val="auto"/>
          <w:sz w:val="24"/>
          <w:szCs w:val="24"/>
          <w:highlight w:val="none"/>
          <w:lang w:val="en-US" w:eastAsia="zh-CN"/>
        </w:rPr>
        <w:t>.............................................66</w:t>
      </w:r>
    </w:p>
    <w:p>
      <w:pPr>
        <w:pStyle w:val="32"/>
        <w:tabs>
          <w:tab w:val="right" w:leader="dot" w:pos="9062"/>
        </w:tabs>
        <w:spacing w:line="700" w:lineRule="exact"/>
        <w:ind w:firstLine="480" w:firstLineChars="200"/>
        <w:rPr>
          <w:rFonts w:hint="eastAsia" w:ascii="宋体" w:hAnsi="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第六章 </w:t>
      </w:r>
      <w:r>
        <w:rPr>
          <w:rFonts w:hint="eastAsia" w:ascii="宋体" w:hAnsi="宋体" w:eastAsia="宋体" w:cs="宋体"/>
          <w:b w:val="0"/>
          <w:bCs w:val="0"/>
          <w:caps w:val="0"/>
          <w:color w:val="auto"/>
          <w:sz w:val="24"/>
          <w:szCs w:val="24"/>
          <w:highlight w:val="none"/>
          <w:lang w:val="en-US" w:eastAsia="zh-CN"/>
        </w:rPr>
        <w:t>图纸</w:t>
      </w:r>
      <w:r>
        <w:rPr>
          <w:rFonts w:hint="eastAsia" w:ascii="宋体" w:hAnsi="宋体" w:cs="宋体"/>
          <w:b w:val="0"/>
          <w:bCs w:val="0"/>
          <w:caps w:val="0"/>
          <w:color w:val="auto"/>
          <w:sz w:val="24"/>
          <w:szCs w:val="24"/>
          <w:highlight w:val="none"/>
          <w:lang w:val="en-US" w:eastAsia="zh-CN"/>
        </w:rPr>
        <w:t>...................................................69</w:t>
      </w:r>
    </w:p>
    <w:p>
      <w:pPr>
        <w:pStyle w:val="32"/>
        <w:tabs>
          <w:tab w:val="right" w:leader="dot" w:pos="9062"/>
        </w:tabs>
        <w:spacing w:line="700" w:lineRule="exact"/>
        <w:ind w:firstLine="480" w:firstLineChars="200"/>
        <w:rPr>
          <w:rFonts w:hint="eastAsia" w:ascii="宋体" w:hAnsi="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第七章 </w:t>
      </w:r>
      <w:r>
        <w:rPr>
          <w:rFonts w:hint="eastAsia" w:ascii="宋体" w:hAnsi="宋体" w:eastAsia="宋体" w:cs="宋体"/>
          <w:b w:val="0"/>
          <w:bCs w:val="0"/>
          <w:caps w:val="0"/>
          <w:color w:val="auto"/>
          <w:sz w:val="24"/>
          <w:szCs w:val="24"/>
          <w:highlight w:val="none"/>
          <w:lang w:val="en-US" w:eastAsia="zh-CN"/>
        </w:rPr>
        <w:t>投标文件格式</w:t>
      </w:r>
      <w:r>
        <w:rPr>
          <w:rFonts w:hint="eastAsia" w:ascii="宋体" w:hAnsi="宋体" w:cs="宋体"/>
          <w:b w:val="0"/>
          <w:bCs w:val="0"/>
          <w:caps w:val="0"/>
          <w:color w:val="auto"/>
          <w:sz w:val="24"/>
          <w:szCs w:val="24"/>
          <w:highlight w:val="none"/>
          <w:lang w:val="en-US" w:eastAsia="zh-CN"/>
        </w:rPr>
        <w:t>...........................................70</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第八章 </w:t>
      </w:r>
      <w:r>
        <w:rPr>
          <w:rFonts w:hint="eastAsia" w:ascii="宋体" w:hAnsi="宋体" w:eastAsia="宋体" w:cs="宋体"/>
          <w:b w:val="0"/>
          <w:bCs w:val="0"/>
          <w:caps w:val="0"/>
          <w:color w:val="auto"/>
          <w:sz w:val="24"/>
          <w:szCs w:val="24"/>
          <w:highlight w:val="none"/>
          <w:lang w:val="en-US" w:eastAsia="zh-CN"/>
        </w:rPr>
        <w:t>招标单位、招标代理机构对本招标文件的确认</w:t>
      </w:r>
      <w:r>
        <w:rPr>
          <w:rFonts w:hint="eastAsia" w:ascii="宋体" w:hAnsi="宋体" w:cs="宋体"/>
          <w:b w:val="0"/>
          <w:bCs w:val="0"/>
          <w:caps w:val="0"/>
          <w:color w:val="auto"/>
          <w:sz w:val="24"/>
          <w:szCs w:val="24"/>
          <w:highlight w:val="none"/>
          <w:lang w:val="en-US" w:eastAsia="zh-CN"/>
        </w:rPr>
        <w:t>...............79</w:t>
      </w:r>
    </w:p>
    <w:p>
      <w:pPr>
        <w:pStyle w:val="14"/>
        <w:spacing w:line="700" w:lineRule="exact"/>
        <w:ind w:left="0" w:leftChars="0" w:firstLine="480"/>
        <w:jc w:val="left"/>
        <w:rPr>
          <w:color w:val="auto"/>
          <w:sz w:val="24"/>
          <w:szCs w:val="24"/>
          <w:highlight w:val="none"/>
        </w:rPr>
      </w:pPr>
    </w:p>
    <w:p>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4"/>
    <w:bookmarkEnd w:id="15"/>
    <w:bookmarkEnd w:id="16"/>
    <w:bookmarkEnd w:id="17"/>
    <w:p>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18" w:name="_Toc78803320"/>
      <w:bookmarkStart w:id="19" w:name="_Toc144974495"/>
      <w:bookmarkStart w:id="20" w:name="_Toc246996916"/>
      <w:bookmarkStart w:id="21" w:name="_Toc506107267"/>
      <w:bookmarkStart w:id="22" w:name="_Toc246996173"/>
      <w:bookmarkStart w:id="23" w:name="_Toc35425050"/>
      <w:bookmarkStart w:id="24" w:name="_Toc247085687"/>
      <w:bookmarkStart w:id="25" w:name="_Toc152045527"/>
      <w:bookmarkStart w:id="26" w:name="_Toc324404813"/>
      <w:bookmarkStart w:id="27" w:name="_Toc179632544"/>
      <w:bookmarkStart w:id="28" w:name="_Toc15058844"/>
      <w:bookmarkStart w:id="29" w:name="_Toc35424883"/>
      <w:bookmarkStart w:id="30" w:name="_Toc152042303"/>
      <w:r>
        <w:rPr>
          <w:rFonts w:hint="eastAsia"/>
          <w:bCs/>
          <w:color w:val="auto"/>
          <w:szCs w:val="32"/>
          <w:highlight w:val="none"/>
          <w:lang w:eastAsia="zh-CN"/>
        </w:rPr>
        <w:t>巢东矿业环山路延伸及道路附属工程施工项目（二次）</w:t>
      </w:r>
      <w:r>
        <w:rPr>
          <w:rFonts w:hint="eastAsia"/>
          <w:bCs/>
          <w:color w:val="auto"/>
          <w:szCs w:val="32"/>
          <w:highlight w:val="none"/>
        </w:rPr>
        <w:t>招标公告信息</w:t>
      </w:r>
      <w:bookmarkEnd w:id="18"/>
    </w:p>
    <w:tbl>
      <w:tblPr>
        <w:tblStyle w:val="46"/>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巢东矿业环山路延伸及道路附属工程施工项目（二次）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安徽巢东矿业高新材料有限责任公司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安徽巢东矿业高新材料有限责任公司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巢东矿业环山路延伸及道路附属工程施工项目（二次）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pPr>
              <w:pStyle w:val="14"/>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宋体" w:hAnsi="宋体" w:eastAsia="宋体" w:cs="宋体"/>
                <w:color w:val="auto"/>
                <w:szCs w:val="21"/>
                <w:highlight w:val="none"/>
                <w:lang w:val="en-US"/>
              </w:rPr>
            </w:pPr>
            <w:r>
              <w:rPr>
                <w:rFonts w:hint="eastAsia" w:hAnsi="宋体" w:cs="宋体"/>
                <w:color w:val="auto"/>
                <w:szCs w:val="21"/>
                <w:highlight w:val="none"/>
                <w:lang w:val="en-US" w:eastAsia="zh-CN"/>
              </w:rPr>
              <w:t>明光市涧溪镇姚郭村村委会向东约2KM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pPr>
              <w:pStyle w:val="14"/>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 w:val="21"/>
                <w:szCs w:val="21"/>
                <w:highlight w:val="none"/>
                <w:lang w:eastAsia="zh-CN"/>
              </w:rPr>
              <w:t>巢东矿业环山路延伸及道路附属工程</w:t>
            </w:r>
            <w:r>
              <w:rPr>
                <w:rFonts w:hint="eastAsia" w:hAnsi="宋体" w:cs="宋体"/>
                <w:color w:val="auto"/>
                <w:szCs w:val="21"/>
                <w:highlight w:val="none"/>
                <w:lang w:val="en-US" w:eastAsia="zh-CN"/>
              </w:rPr>
              <w:t>施工，含巢东矿业原环山路道路延伸施工以</w:t>
            </w:r>
            <w:r>
              <w:rPr>
                <w:rFonts w:hint="eastAsia" w:ascii="宋体" w:hAnsi="宋体" w:cs="宋体"/>
                <w:color w:val="auto"/>
                <w:szCs w:val="21"/>
                <w:highlight w:val="none"/>
                <w:lang w:val="en-US" w:eastAsia="zh-CN"/>
              </w:rPr>
              <w:t>及</w:t>
            </w:r>
            <w:r>
              <w:rPr>
                <w:rFonts w:hint="eastAsia" w:hAnsi="宋体" w:cs="宋体"/>
                <w:color w:val="auto"/>
                <w:szCs w:val="21"/>
                <w:highlight w:val="none"/>
                <w:lang w:val="en-US" w:eastAsia="zh-CN"/>
              </w:rPr>
              <w:t>配套</w:t>
            </w:r>
            <w:r>
              <w:rPr>
                <w:rFonts w:hint="eastAsia" w:ascii="宋体" w:hAnsi="宋体" w:cs="宋体"/>
                <w:color w:val="auto"/>
                <w:szCs w:val="21"/>
                <w:highlight w:val="none"/>
                <w:lang w:val="en-US" w:eastAsia="zh-CN"/>
              </w:rPr>
              <w:t>地磅及洗车机采购及相关服务，工程造价</w:t>
            </w:r>
            <w:r>
              <w:rPr>
                <w:rFonts w:hint="eastAsia" w:hAnsi="宋体" w:cs="宋体"/>
                <w:color w:val="auto"/>
                <w:szCs w:val="21"/>
                <w:highlight w:val="none"/>
                <w:u w:val="single"/>
                <w:lang w:val="en-US" w:eastAsia="zh-CN"/>
              </w:rPr>
              <w:t>987805.36</w:t>
            </w:r>
            <w:r>
              <w:rPr>
                <w:rFonts w:hint="eastAsia" w:ascii="宋体" w:hAnsi="宋体" w:cs="宋体"/>
                <w:color w:val="auto"/>
                <w:szCs w:val="21"/>
                <w:highlight w:val="none"/>
                <w:lang w:val="en-US" w:eastAsia="zh-CN"/>
              </w:rPr>
              <w:t>元，具体详见</w:t>
            </w:r>
            <w:r>
              <w:rPr>
                <w:rFonts w:hint="eastAsia" w:hAnsi="宋体" w:cs="宋体"/>
                <w:color w:val="auto"/>
                <w:szCs w:val="21"/>
                <w:highlight w:val="none"/>
                <w:lang w:val="en-US" w:eastAsia="zh-CN"/>
              </w:rPr>
              <w:t>设计示意图、</w:t>
            </w:r>
            <w:r>
              <w:rPr>
                <w:rFonts w:hint="eastAsia" w:ascii="宋体" w:hAnsi="宋体" w:cs="宋体"/>
                <w:color w:val="auto"/>
                <w:szCs w:val="21"/>
                <w:highlight w:val="none"/>
                <w:lang w:val="en-US" w:eastAsia="zh-CN"/>
              </w:rPr>
              <w:t>施工图纸和工程量清单内容。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本工程总投资约</w:t>
            </w:r>
            <w:r>
              <w:rPr>
                <w:rFonts w:hint="eastAsia" w:ascii="宋体" w:hAnsi="宋体" w:cs="宋体"/>
                <w:color w:val="auto"/>
                <w:szCs w:val="21"/>
                <w:highlight w:val="none"/>
                <w:lang w:val="en-US" w:eastAsia="zh-CN"/>
              </w:rPr>
              <w:t>987805.36元</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不高于20</w:t>
            </w:r>
            <w:r>
              <w:rPr>
                <w:rFonts w:hint="eastAsia" w:ascii="宋体" w:hAnsi="宋体" w:eastAsia="宋体" w:cs="宋体"/>
                <w:color w:val="auto"/>
                <w:sz w:val="21"/>
                <w:szCs w:val="21"/>
                <w:highlight w:val="none"/>
                <w:lang w:val="en-US" w:eastAsia="zh-CN"/>
              </w:rPr>
              <w:t>个日历天</w:t>
            </w:r>
            <w:r>
              <w:rPr>
                <w:rFonts w:hint="eastAsia" w:ascii="宋体" w:hAnsi="宋体" w:cs="宋体"/>
                <w:color w:val="auto"/>
                <w:sz w:val="21"/>
                <w:szCs w:val="21"/>
                <w:highlight w:val="none"/>
                <w:lang w:val="en-US" w:eastAsia="zh-CN"/>
              </w:rPr>
              <w:t>，其中合同签订后</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个日历天内</w:t>
            </w:r>
            <w:r>
              <w:rPr>
                <w:rFonts w:hint="eastAsia" w:ascii="宋体" w:hAnsi="宋体" w:eastAsia="宋体" w:cs="宋体"/>
                <w:color w:val="auto"/>
                <w:szCs w:val="21"/>
                <w:highlight w:val="none"/>
                <w:lang w:val="en-US" w:eastAsia="zh-CN"/>
              </w:rPr>
              <w:t>完成道路建设；通知洗车机及地磅进场后10日内完成配送及相关安装服务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投标人须知</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请潜在投标人仔细阅读</w:t>
            </w:r>
            <w:r>
              <w:rPr>
                <w:rFonts w:hint="eastAsia" w:ascii="宋体" w:hAnsi="宋体" w:cs="宋体"/>
                <w:color w:val="auto"/>
                <w:kern w:val="0"/>
                <w:sz w:val="21"/>
                <w:szCs w:val="21"/>
                <w:highlight w:val="none"/>
                <w:lang w:eastAsia="zh-CN"/>
              </w:rPr>
              <w:t>）</w:t>
            </w:r>
          </w:p>
        </w:tc>
        <w:tc>
          <w:tcPr>
            <w:tcW w:w="7997" w:type="dxa"/>
            <w:noWrap w:val="0"/>
            <w:vAlign w:val="center"/>
          </w:tcPr>
          <w:p>
            <w:pPr>
              <w:pStyle w:val="14"/>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SA"/>
              </w:rPr>
              <w:t>本工程施工图纸和工程量清单中的所有内容，包括：1.巢东矿业原环山路K0+720预留约50米路基已水稳硬化，路宽8米；安装SCS-200型电子汽车衡及称重系统（详见工程量清单及地磅施工图，地磅长度为18米包含在预留的50米内）地磅出入口剩余部分需铺设C30混凝土，厚240mm（混凝土弯拉强度不小于5.0MPa）；2.巢东矿业原环山路起点向矿山内延伸约45米至巢东矿业已修建的三级沉淀池处，该段道路包含挖填方水稳基础路面等全部道路施工内容（详见工程量清单及道路施工图），此处安装全自动型洗车台，包含基础、水电、护栏等（详见工程量清单及洗车机施工图），在洗车机入口处道路向矿山区内延伸约10米作为洗车机引导路段。3.巢东矿业原3.83km环山路需要增设两侧安全护栏安装（巢东矿业有库存护栏及立柱，库存护栏为原3.83km环山路拆除下来的护栏，部分护栏拆除时已损坏），施工单位需优先使用库存护栏立柱安装，库存不足需采购安装原标准的新护栏立柱，安装新旧护栏立柱单价以中标价为准，工程量最终根据审计结果据实结算。4.本项目施工地理位置较偏，运输条件较简陋，货物材料等运输费用投标人自行考量</w:t>
            </w:r>
            <w:r>
              <w:rPr>
                <w:rFonts w:hint="eastAsia" w:hAnsi="宋体" w:cs="宋体"/>
                <w:color w:val="auto"/>
                <w:kern w:val="2"/>
                <w:sz w:val="21"/>
                <w:szCs w:val="21"/>
                <w:highlight w:val="none"/>
                <w:lang w:val="en-US" w:eastAsia="zh-CN" w:bidi="ar-SA"/>
              </w:rPr>
              <w:t>，均包含在投标价中</w:t>
            </w:r>
            <w:r>
              <w:rPr>
                <w:rFonts w:hint="eastAsia" w:ascii="宋体" w:hAnsi="宋体" w:eastAsia="宋体" w:cs="宋体"/>
                <w:color w:val="auto"/>
                <w:kern w:val="2"/>
                <w:sz w:val="21"/>
                <w:szCs w:val="21"/>
                <w:highlight w:val="none"/>
                <w:lang w:val="en-US" w:eastAsia="zh-CN" w:bidi="ar-SA"/>
              </w:rPr>
              <w:t>。</w:t>
            </w:r>
            <w:r>
              <w:rPr>
                <w:rFonts w:hint="eastAsia" w:hAnsi="宋体" w:cs="宋体"/>
                <w:color w:val="auto"/>
                <w:kern w:val="2"/>
                <w:sz w:val="21"/>
                <w:szCs w:val="21"/>
                <w:highlight w:val="none"/>
                <w:lang w:val="en-US" w:eastAsia="zh-CN" w:bidi="ar-SA"/>
              </w:rPr>
              <w:t>5.本项目招标方仅提供水电至单位保安亭处（距施工地点最近距离约600m）。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投标人须具有建设行政主管部门颁发的</w:t>
            </w:r>
            <w:r>
              <w:rPr>
                <w:rFonts w:hint="eastAsia" w:ascii="宋体" w:hAnsi="宋体" w:eastAsia="宋体" w:cs="宋体"/>
                <w:color w:val="auto"/>
                <w:sz w:val="21"/>
                <w:szCs w:val="21"/>
                <w:highlight w:val="none"/>
                <w:lang w:val="zh-CN"/>
              </w:rPr>
              <w:t>公路工程施工总承包</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zh-CN"/>
              </w:rPr>
              <w:t>级及以上资质</w:t>
            </w:r>
            <w:r>
              <w:rPr>
                <w:rFonts w:hint="eastAsia" w:ascii="宋体" w:hAnsi="宋体" w:cs="宋体"/>
                <w:color w:val="auto"/>
                <w:szCs w:val="21"/>
                <w:highlight w:val="none"/>
              </w:rPr>
              <w:t>的企业</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pPr>
              <w:keepNext w:val="0"/>
              <w:keepLines w:val="0"/>
              <w:pageBreakBefore w:val="0"/>
              <w:widowControl/>
              <w:kinsoku w:val="0"/>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sz w:val="21"/>
                <w:szCs w:val="21"/>
                <w:highlight w:val="none"/>
              </w:rPr>
            </w:pPr>
            <w:r>
              <w:rPr>
                <w:rFonts w:hint="eastAsia" w:ascii="宋体" w:hAnsi="宋体"/>
                <w:color w:val="auto"/>
                <w:szCs w:val="21"/>
                <w:highlight w:val="none"/>
                <w:lang w:val="en-US" w:eastAsia="zh-CN"/>
              </w:rPr>
              <w:t>拟派的项目经理</w:t>
            </w:r>
            <w:r>
              <w:rPr>
                <w:rFonts w:hint="eastAsia" w:ascii="宋体" w:hAnsi="宋体" w:eastAsia="宋体" w:cs="Times New Roman"/>
                <w:color w:val="auto"/>
                <w:szCs w:val="21"/>
                <w:highlight w:val="none"/>
                <w:lang w:val="en-US" w:eastAsia="zh-CN"/>
              </w:rPr>
              <w:t>具</w:t>
            </w:r>
            <w:r>
              <w:rPr>
                <w:rFonts w:hint="eastAsia" w:ascii="宋体" w:hAnsi="宋体"/>
                <w:color w:val="auto"/>
                <w:szCs w:val="21"/>
                <w:highlight w:val="none"/>
                <w:lang w:val="en-US" w:eastAsia="zh-CN"/>
              </w:rPr>
              <w:t>备</w:t>
            </w:r>
            <w:r>
              <w:rPr>
                <w:rFonts w:hint="eastAsia" w:ascii="宋体" w:hAnsi="宋体" w:eastAsia="宋体" w:cs="宋体"/>
                <w:color w:val="auto"/>
                <w:sz w:val="21"/>
                <w:szCs w:val="21"/>
                <w:highlight w:val="none"/>
                <w:lang w:val="en-US" w:eastAsia="zh-CN"/>
              </w:rPr>
              <w:t>注册在投标单位的公路工程专业二级及以上注册建造师资格，具备有效的安全生产考核合格(B类)证书。本项目不接受投标截止时间前六个月内在滁州市区域内办理过项目经理（建造师）变更备案手续的原项目经理（建造师）作为拟任项目经理（建造师）参加投标</w:t>
            </w:r>
            <w:r>
              <w:rPr>
                <w:rFonts w:hint="eastAsia" w:ascii="宋体" w:hAnsi="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1、投标人存在以下情形之一的，不得被确定为中标人：</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①投标人被人民法院列入失信被执行人的；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②投标人或其法定代表人或拟派项目负责人（总监理工程师）前三年有行贿犯罪行为的；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③投标人被市场监督管理部门列入经营异常名录或者严重违法企业名单，且未被移除的；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④投标人被税务部门列入重大税收违法案件当事人的；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⑤在“信用中国”网站上披露仍在公示期的严重失信行为的；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⑥被滁州市县两级各行业主管部门及公管部门取消在一定期限内的投标资格且在取消期限内的；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⑦被滁州市县两级公管部门记入不良行为记录或者信用信息记录，且在披露期内的。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⑧被人力资源社会保障主管部门列入拖欠农民工工资‘黑名单’或因拖欠农民工工资被县级及以上有关行政主管部门限制投标资格且在限制期限内的。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⑨被列入省级、市级农民工工资支付异常名录的施工企业，限制其参加全市范围内房建和市政工程建设项目投标；列入县级异常名录的施工企业，限制其参加本行政区域内房建和市政建设项目投标。</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2、投标人所属分公司、办事处等分支机构存在第1条信誉要求①-⑨项情形之一的，接受其被确定为中标人。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w:t>
            </w:r>
            <w:r>
              <w:rPr>
                <w:rFonts w:hint="eastAsia" w:ascii="宋体" w:hAnsi="宋体" w:cs="宋体"/>
                <w:bCs/>
                <w:snapToGrid w:val="0"/>
                <w:color w:val="auto"/>
                <w:kern w:val="0"/>
                <w:szCs w:val="21"/>
                <w:highlight w:val="none"/>
                <w:u w:val="single"/>
                <w:lang w:val="en-US" w:eastAsia="zh-CN"/>
              </w:rPr>
              <w:t>4</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4</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30</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17</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00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分至</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w:t>
            </w:r>
            <w:r>
              <w:rPr>
                <w:rFonts w:hint="eastAsia" w:ascii="宋体" w:hAnsi="宋体" w:cs="宋体"/>
                <w:bCs/>
                <w:snapToGrid w:val="0"/>
                <w:color w:val="auto"/>
                <w:kern w:val="0"/>
                <w:szCs w:val="21"/>
                <w:highlight w:val="none"/>
                <w:u w:val="single"/>
                <w:lang w:val="en-US" w:eastAsia="zh-CN"/>
              </w:rPr>
              <w:t>4</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5</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7</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9</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0</w:t>
            </w:r>
            <w:r>
              <w:rPr>
                <w:rFonts w:hint="eastAsia" w:ascii="宋体" w:hAnsi="宋体" w:eastAsia="宋体" w:cs="宋体"/>
                <w:bCs/>
                <w:snapToGrid w:val="0"/>
                <w:color w:val="auto"/>
                <w:kern w:val="0"/>
                <w:szCs w:val="21"/>
                <w:highlight w:val="none"/>
                <w:u w:val="single"/>
                <w:lang w:val="en-US" w:eastAsia="zh-CN"/>
              </w:rPr>
              <w:t>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获取方式</w:t>
            </w:r>
          </w:p>
        </w:tc>
        <w:tc>
          <w:tcPr>
            <w:tcW w:w="7997" w:type="dxa"/>
            <w:noWrap w:val="0"/>
            <w:vAlign w:val="center"/>
          </w:tcPr>
          <w:p>
            <w:pPr>
              <w:keepNext w:val="0"/>
              <w:keepLines w:val="0"/>
              <w:pageBreakBefore w:val="0"/>
              <w:kinsoku/>
              <w:overflowPunct/>
              <w:topLinePunct w:val="0"/>
              <w:autoSpaceDE/>
              <w:autoSpaceDN/>
              <w:bidi w:val="0"/>
              <w:snapToGrid/>
              <w:spacing w:line="400" w:lineRule="exact"/>
              <w:jc w:val="left"/>
              <w:textAlignment w:val="baseline"/>
              <w:rPr>
                <w:rFonts w:hint="eastAsia" w:ascii="宋体" w:hAnsi="宋体" w:eastAsia="宋体" w:cs="宋体"/>
                <w:color w:val="auto"/>
                <w:sz w:val="21"/>
                <w:szCs w:val="21"/>
                <w:highlight w:val="none"/>
              </w:rPr>
            </w:pPr>
            <w:r>
              <w:rPr>
                <w:rFonts w:hint="eastAsia" w:ascii="宋体" w:hAnsi="宋体" w:cs="宋体"/>
                <w:bCs/>
                <w:snapToGrid w:val="0"/>
                <w:color w:val="auto"/>
                <w:kern w:val="0"/>
                <w:szCs w:val="21"/>
                <w:highlight w:val="none"/>
              </w:rPr>
              <w:t>潜在投标人须登录</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bCs/>
                <w:snapToGrid w:val="0"/>
                <w:color w:val="auto"/>
                <w:kern w:val="0"/>
                <w:szCs w:val="21"/>
                <w:highlight w:val="none"/>
              </w:rPr>
              <w:t>查阅并下载招标文件</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相关资料</w:t>
            </w:r>
            <w:r>
              <w:rPr>
                <w:rFonts w:hint="eastAsia" w:ascii="宋体" w:hAnsi="宋体" w:cs="宋体"/>
                <w:bCs/>
                <w:snapToGrid w:val="0"/>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5月7日9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投标文件递交的方式</w:t>
            </w:r>
          </w:p>
        </w:tc>
        <w:tc>
          <w:tcPr>
            <w:tcW w:w="7997" w:type="dxa"/>
            <w:noWrap w:val="0"/>
            <w:vAlign w:val="center"/>
          </w:tcPr>
          <w:p>
            <w:pPr>
              <w:keepNext w:val="0"/>
              <w:keepLines w:val="0"/>
              <w:pageBreakBefore w:val="0"/>
              <w:kinsoku/>
              <w:overflowPunct/>
              <w:topLinePunct w:val="0"/>
              <w:autoSpaceDE/>
              <w:autoSpaceDN/>
              <w:bidi w:val="0"/>
              <w:snapToGrid/>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网上递交，发送至电子邮箱：czsctgczx@163.com（滁州市城投工程咨询管理有限公司邮箱）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5月7日9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滁州市城投工程咨询管理有限公司(滁州市龙蟠大道109号房产大厦六楼6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□不要求。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☑要求，投标保证金的金额：</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万元。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投标保证金的形式：☑银行转账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户  名：</w:t>
            </w:r>
            <w:r>
              <w:rPr>
                <w:rFonts w:hint="eastAsia" w:ascii="宋体" w:hAnsi="宋体" w:cs="宋体"/>
                <w:color w:val="auto"/>
                <w:szCs w:val="21"/>
                <w:highlight w:val="none"/>
                <w:lang w:val="en-US" w:eastAsia="zh-CN"/>
              </w:rPr>
              <w:t>滁州市城投工程咨询管理有限公司</w:t>
            </w:r>
            <w:r>
              <w:rPr>
                <w:rFonts w:hint="eastAsia" w:ascii="宋体" w:hAnsi="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开户行：</w:t>
            </w:r>
            <w:r>
              <w:rPr>
                <w:rFonts w:hint="eastAsia" w:ascii="宋体" w:hAnsi="宋体" w:cs="宋体"/>
                <w:color w:val="auto"/>
                <w:szCs w:val="21"/>
                <w:highlight w:val="none"/>
                <w:lang w:val="en-US" w:eastAsia="zh-CN"/>
              </w:rPr>
              <w:t>中国银行滁州分行营业部</w:t>
            </w:r>
            <w:r>
              <w:rPr>
                <w:rFonts w:hint="eastAsia" w:ascii="宋体" w:hAnsi="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账  号：184256514737</w:t>
            </w:r>
            <w:r>
              <w:rPr>
                <w:rFonts w:hint="eastAsia" w:ascii="宋体" w:hAnsi="宋体"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保证金到账截止时间同投标文件递交截止时间，交纳保证金时须在交易附言中注明：“</w:t>
            </w:r>
            <w:r>
              <w:rPr>
                <w:rFonts w:hint="eastAsia" w:ascii="宋体" w:hAnsi="宋体" w:cs="宋体"/>
                <w:bCs/>
                <w:color w:val="auto"/>
                <w:kern w:val="1"/>
                <w:sz w:val="21"/>
                <w:szCs w:val="21"/>
                <w:highlight w:val="none"/>
                <w:lang w:eastAsia="zh-CN"/>
              </w:rPr>
              <w:t>巢东矿业环山路延伸及道路附属工程施工项目（二次）</w:t>
            </w:r>
            <w:r>
              <w:rPr>
                <w:rFonts w:hint="eastAsia" w:ascii="宋体" w:hAnsi="宋体" w:cs="宋体"/>
                <w:color w:val="auto"/>
                <w:szCs w:val="21"/>
                <w:highlight w:val="none"/>
              </w:rPr>
              <w:t xml:space="preserve">”投标保证金。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各投标人请严格按照招标公告和招标文件载明的银行、账户汇入投标保证金，否则在开标时将无法查询保证金是否到账，导致评标委员会否决其投标！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参加本项目一次投标并递交保证金的，二次无需再次递交保证金。投标文件中放置一次递交银行截图即可</w:t>
            </w:r>
            <w:r>
              <w:rPr>
                <w:rFonts w:hint="eastAsia" w:ascii="宋体" w:hAnsi="宋体" w:cs="宋体"/>
                <w:b/>
                <w:bCs/>
                <w:color w:val="auto"/>
                <w:kern w:val="2"/>
                <w:sz w:val="21"/>
                <w:szCs w:val="21"/>
                <w:highlight w:val="none"/>
                <w:lang w:val="en-US" w:eastAsia="zh-CN" w:bidi="ar-SA"/>
              </w:rPr>
              <w:t>。</w:t>
            </w:r>
            <w:bookmarkStart w:id="1016" w:name="_GoBack"/>
            <w:bookmarkEnd w:id="10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kinsoku/>
              <w:overflowPunct/>
              <w:topLinePunct w:val="0"/>
              <w:autoSpaceDE/>
              <w:autoSpaceDN/>
              <w:bidi w:val="0"/>
              <w:snapToGrid/>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b/>
                <w:color w:val="auto"/>
                <w:kern w:val="0"/>
                <w:sz w:val="21"/>
                <w:szCs w:val="21"/>
                <w:highlight w:val="none"/>
                <w:lang w:val="en-US" w:eastAsia="zh-CN"/>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numPr>
                <w:ilvl w:val="0"/>
                <w:numId w:val="1"/>
              </w:numPr>
              <w:kinsoku/>
              <w:overflowPunct/>
              <w:topLinePunct w:val="0"/>
              <w:autoSpaceDE/>
              <w:autoSpaceDN/>
              <w:bidi w:val="0"/>
              <w:snapToGrid/>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施工场地及周边场地、道路、绿化等，若被施工方损坏，施工方必须无偿按照原貌恢复。</w:t>
            </w:r>
          </w:p>
          <w:p>
            <w:pPr>
              <w:keepNext w:val="0"/>
              <w:keepLines w:val="0"/>
              <w:pageBreakBefore w:val="0"/>
              <w:numPr>
                <w:ilvl w:val="0"/>
                <w:numId w:val="1"/>
              </w:numPr>
              <w:kinsoku/>
              <w:overflowPunct/>
              <w:topLinePunct w:val="0"/>
              <w:autoSpaceDE/>
              <w:autoSpaceDN/>
              <w:bidi w:val="0"/>
              <w:snapToGrid/>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自行勘察施工现场情况，因</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未勘察现场而造成的损失由</w:t>
            </w:r>
            <w:r>
              <w:rPr>
                <w:rFonts w:hint="eastAsia" w:ascii="宋体" w:hAnsi="宋体" w:eastAsia="宋体" w:cs="宋体"/>
                <w:color w:val="auto"/>
                <w:szCs w:val="21"/>
                <w:highlight w:val="none"/>
                <w:lang w:val="en-US" w:eastAsia="zh-CN"/>
              </w:rPr>
              <w:t>投标人自行</w:t>
            </w:r>
            <w:r>
              <w:rPr>
                <w:rFonts w:hint="eastAsia" w:ascii="宋体" w:hAnsi="宋体" w:eastAsia="宋体" w:cs="宋体"/>
                <w:color w:val="auto"/>
                <w:szCs w:val="21"/>
                <w:highlight w:val="none"/>
              </w:rPr>
              <w:t>承担。</w:t>
            </w:r>
          </w:p>
          <w:p>
            <w:pPr>
              <w:keepNext w:val="0"/>
              <w:keepLines w:val="0"/>
              <w:pageBreakBefore w:val="0"/>
              <w:numPr>
                <w:ilvl w:val="0"/>
                <w:numId w:val="1"/>
              </w:numPr>
              <w:kinsoku/>
              <w:overflowPunct/>
              <w:topLinePunct w:val="0"/>
              <w:autoSpaceDE/>
              <w:autoSpaceDN/>
              <w:bidi w:val="0"/>
              <w:snapToGrid/>
              <w:spacing w:line="400" w:lineRule="exact"/>
              <w:jc w:val="left"/>
              <w:rPr>
                <w:rFonts w:hint="default" w:eastAsia="宋体"/>
                <w:color w:val="auto"/>
                <w:highlight w:val="none"/>
                <w:lang w:val="en-US" w:eastAsia="zh-CN"/>
              </w:rPr>
            </w:pPr>
            <w:r>
              <w:rPr>
                <w:rFonts w:hint="eastAsia" w:ascii="宋体" w:hAnsi="宋体" w:eastAsia="宋体" w:cs="宋体"/>
                <w:color w:val="auto"/>
                <w:szCs w:val="21"/>
                <w:highlight w:val="none"/>
                <w:lang w:val="en-US" w:eastAsia="zh-CN"/>
              </w:rPr>
              <w:t>中标人在合同履行期内与各方</w:t>
            </w:r>
            <w:r>
              <w:rPr>
                <w:rFonts w:hint="eastAsia" w:ascii="宋体" w:hAnsi="宋体" w:eastAsia="宋体" w:cs="宋体"/>
                <w:color w:val="auto"/>
                <w:szCs w:val="21"/>
                <w:highlight w:val="none"/>
              </w:rPr>
              <w:t>发生</w:t>
            </w:r>
            <w:r>
              <w:rPr>
                <w:rFonts w:hint="eastAsia" w:ascii="宋体" w:hAnsi="宋体" w:eastAsia="宋体" w:cs="宋体"/>
                <w:color w:val="auto"/>
                <w:szCs w:val="21"/>
                <w:highlight w:val="none"/>
                <w:lang w:val="en-US" w:eastAsia="zh-CN"/>
              </w:rPr>
              <w:t>各种</w:t>
            </w:r>
            <w:r>
              <w:rPr>
                <w:rFonts w:hint="eastAsia" w:ascii="宋体" w:hAnsi="宋体" w:eastAsia="宋体" w:cs="宋体"/>
                <w:color w:val="auto"/>
                <w:szCs w:val="21"/>
                <w:highlight w:val="none"/>
              </w:rPr>
              <w:t>矛盾、纠纷时，</w:t>
            </w:r>
            <w:r>
              <w:rPr>
                <w:rFonts w:hint="eastAsia" w:ascii="宋体" w:hAnsi="宋体" w:eastAsia="宋体" w:cs="宋体"/>
                <w:color w:val="auto"/>
                <w:szCs w:val="21"/>
                <w:highlight w:val="none"/>
                <w:lang w:val="en-US" w:eastAsia="zh-CN"/>
              </w:rPr>
              <w:t>由中标人自主解决。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安徽巢东矿业高新材料有限责任公司</w:t>
            </w:r>
            <w:r>
              <w:rPr>
                <w:rFonts w:hint="eastAsia" w:ascii="宋体" w:hAnsi="宋体" w:eastAsia="宋体" w:cs="宋体"/>
                <w:color w:val="auto"/>
                <w:kern w:val="0"/>
                <w:sz w:val="21"/>
                <w:szCs w:val="21"/>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明光市涧溪镇319省道66号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许经理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0550-2601587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cs="宋体"/>
                <w:color w:val="auto"/>
                <w:sz w:val="21"/>
                <w:szCs w:val="21"/>
                <w:highlight w:val="none"/>
                <w:lang w:val="en-US" w:eastAsia="zh-CN"/>
              </w:rPr>
              <w:t>620室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毕玉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0550-3519598、15385506369</w:t>
            </w:r>
          </w:p>
        </w:tc>
      </w:tr>
    </w:tbl>
    <w:p>
      <w:pPr>
        <w:pStyle w:val="43"/>
        <w:spacing w:beforeLines="50" w:afterLines="50" w:line="440" w:lineRule="exact"/>
        <w:rPr>
          <w:bCs/>
          <w:color w:val="auto"/>
          <w:szCs w:val="32"/>
          <w:highlight w:val="none"/>
        </w:rPr>
      </w:pPr>
      <w:bookmarkStart w:id="31" w:name="_Toc78803321"/>
      <w:r>
        <w:rPr>
          <w:rFonts w:hint="eastAsia"/>
          <w:bCs/>
          <w:color w:val="auto"/>
          <w:szCs w:val="32"/>
          <w:highlight w:val="none"/>
        </w:rPr>
        <w:br w:type="page"/>
      </w:r>
      <w:r>
        <w:rPr>
          <w:rFonts w:hint="eastAsia"/>
          <w:bCs/>
          <w:color w:val="auto"/>
          <w:szCs w:val="32"/>
          <w:highlight w:val="none"/>
        </w:rPr>
        <w:t>第一章  投标人须知</w:t>
      </w:r>
      <w:bookmarkEnd w:id="19"/>
      <w:bookmarkEnd w:id="20"/>
      <w:bookmarkEnd w:id="21"/>
      <w:bookmarkEnd w:id="22"/>
      <w:bookmarkEnd w:id="23"/>
      <w:bookmarkEnd w:id="24"/>
      <w:bookmarkEnd w:id="25"/>
      <w:bookmarkEnd w:id="26"/>
      <w:bookmarkEnd w:id="27"/>
      <w:bookmarkEnd w:id="28"/>
      <w:bookmarkEnd w:id="29"/>
      <w:bookmarkEnd w:id="30"/>
      <w:bookmarkEnd w:id="31"/>
    </w:p>
    <w:p>
      <w:pPr>
        <w:spacing w:beforeLines="50" w:afterLines="50" w:line="440" w:lineRule="exact"/>
        <w:jc w:val="center"/>
        <w:rPr>
          <w:b/>
          <w:bCs/>
          <w:color w:val="auto"/>
          <w:sz w:val="28"/>
          <w:szCs w:val="28"/>
          <w:highlight w:val="none"/>
        </w:rPr>
      </w:pPr>
      <w:bookmarkStart w:id="32" w:name="_Toc152045528"/>
      <w:bookmarkStart w:id="33" w:name="_Toc246996917"/>
      <w:bookmarkStart w:id="34" w:name="_Toc506107268"/>
      <w:bookmarkStart w:id="35" w:name="_Toc324404814"/>
      <w:bookmarkStart w:id="36" w:name="_Toc35424884"/>
      <w:bookmarkStart w:id="37" w:name="_Toc35425051"/>
      <w:bookmarkStart w:id="38" w:name="_Toc179632545"/>
      <w:bookmarkStart w:id="39" w:name="_Toc152042304"/>
      <w:bookmarkStart w:id="40" w:name="_Toc247085688"/>
      <w:bookmarkStart w:id="41" w:name="_Toc15058845"/>
      <w:bookmarkStart w:id="42" w:name="_Toc144974496"/>
      <w:bookmarkStart w:id="43" w:name="_Toc246996174"/>
      <w:r>
        <w:rPr>
          <w:rFonts w:hint="eastAsia"/>
          <w:b/>
          <w:bCs/>
          <w:color w:val="auto"/>
          <w:sz w:val="28"/>
          <w:szCs w:val="28"/>
          <w:highlight w:val="none"/>
        </w:rPr>
        <w:t>投标人须知前附表</w:t>
      </w:r>
      <w:bookmarkEnd w:id="32"/>
      <w:bookmarkEnd w:id="33"/>
      <w:bookmarkEnd w:id="34"/>
      <w:bookmarkEnd w:id="35"/>
      <w:bookmarkEnd w:id="36"/>
      <w:bookmarkEnd w:id="37"/>
      <w:bookmarkEnd w:id="38"/>
      <w:bookmarkEnd w:id="39"/>
      <w:bookmarkEnd w:id="40"/>
      <w:bookmarkEnd w:id="41"/>
      <w:bookmarkEnd w:id="42"/>
      <w:bookmarkEnd w:id="43"/>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bookmarkStart w:id="44" w:name="_Toc506107269"/>
            <w:bookmarkStart w:id="45" w:name="_Toc144974497"/>
            <w:bookmarkStart w:id="46" w:name="_Toc179632546"/>
            <w:bookmarkStart w:id="47" w:name="_Toc152045529"/>
            <w:bookmarkStart w:id="48" w:name="_Toc324404815"/>
            <w:bookmarkStart w:id="49" w:name="_Toc152042305"/>
            <w:bookmarkStart w:id="50" w:name="_Toc247085689"/>
            <w:bookmarkStart w:id="51" w:name="_Toc246996175"/>
            <w:bookmarkStart w:id="52" w:name="_Toc246996918"/>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color w:val="auto"/>
                <w:szCs w:val="21"/>
                <w:highlight w:val="none"/>
              </w:rPr>
              <w:t>详见招标公告</w:t>
            </w:r>
          </w:p>
        </w:tc>
      </w:tr>
      <w:tr>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96"/>
              <w:keepNext w:val="0"/>
              <w:keepLines w:val="0"/>
              <w:pageBreakBefore w:val="0"/>
              <w:kinsoku/>
              <w:wordWrap/>
              <w:overflowPunct/>
              <w:autoSpaceDN/>
              <w:bidi w:val="0"/>
              <w:spacing w:line="440" w:lineRule="exact"/>
              <w:textAlignment w:val="auto"/>
              <w:rPr>
                <w:rFonts w:ascii="宋体" w:hAnsi="宋体" w:cs="宋体"/>
                <w:color w:val="auto"/>
                <w:highlight w:val="none"/>
              </w:rPr>
            </w:pPr>
            <w:r>
              <w:rPr>
                <w:rFonts w:hint="eastAsia" w:ascii="宋体" w:hAnsi="宋体" w:cs="宋体"/>
                <w:color w:val="auto"/>
                <w:highlight w:val="none"/>
              </w:rPr>
              <w:t>综合评估法</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20</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日历天；其中合同签订后10个日历天内完成道路建设；通知洗车机及地磅进场后10日内完成配送及相关安装服务。</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注：投标人自报的承诺工期为考核标准。工期每延误一天，处以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autoSpaceDN/>
              <w:bidi w:val="0"/>
              <w:spacing w:line="44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autoSpaceDN/>
              <w:bidi w:val="0"/>
              <w:spacing w:line="44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25"/>
              <w:keepNext w:val="0"/>
              <w:keepLines w:val="0"/>
              <w:pageBreakBefore w:val="0"/>
              <w:kinsoku/>
              <w:wordWrap/>
              <w:overflowPunct/>
              <w:autoSpaceDN/>
              <w:bidi w:val="0"/>
              <w:spacing w:line="440" w:lineRule="exact"/>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前将疑问内容以电子邮件形式发送至</w:t>
            </w:r>
            <w:r>
              <w:rPr>
                <w:rFonts w:hint="eastAsia" w:ascii="宋体" w:hAnsi="宋体" w:cs="宋体"/>
                <w:color w:val="auto"/>
                <w:kern w:val="0"/>
                <w:szCs w:val="21"/>
                <w:highlight w:val="none"/>
                <w:lang w:eastAsia="zh-CN"/>
              </w:rPr>
              <w:t>czsctgczx@163.com（滁州市城投工程咨询管理有限公司邮箱）</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"mailto:日11时前将疑问内容以电子邮件形式发送至66267656@qq.com（安徽佳宝信项目管理有限公司邮箱），招标人将在2020年6月"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招标人将在202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时后</w:t>
            </w:r>
            <w:r>
              <w:rPr>
                <w:rFonts w:hint="eastAsia" w:ascii="宋体" w:hAnsi="宋体" w:cs="宋体"/>
                <w:color w:val="auto"/>
                <w:szCs w:val="21"/>
                <w:highlight w:val="none"/>
                <w:lang w:val="en-US" w:eastAsia="zh-CN"/>
              </w:rPr>
              <w:t>在“</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color w:val="auto"/>
                <w:szCs w:val="21"/>
                <w:highlight w:val="none"/>
              </w:rPr>
              <w:t>发布 ，请各位投标人注意查看有关澄清内容，如不及时查看造成后果由投标人自负。</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autoSpaceDN/>
              <w:bidi w:val="0"/>
              <w:spacing w:line="440" w:lineRule="exact"/>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pPr>
              <w:keepNext w:val="0"/>
              <w:keepLines w:val="0"/>
              <w:pageBreakBefore w:val="0"/>
              <w:kinsoku/>
              <w:wordWrap/>
              <w:overflowPunct/>
              <w:autoSpaceDN/>
              <w:bidi w:val="0"/>
              <w:spacing w:line="440" w:lineRule="exact"/>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pPr>
              <w:keepNext w:val="0"/>
              <w:keepLines w:val="0"/>
              <w:pageBreakBefore w:val="0"/>
              <w:kinsoku/>
              <w:wordWrap/>
              <w:overflowPunct/>
              <w:autoSpaceDN/>
              <w:bidi w:val="0"/>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pPr>
              <w:pStyle w:val="19"/>
              <w:keepNext w:val="0"/>
              <w:keepLines w:val="0"/>
              <w:pageBreakBefore w:val="0"/>
              <w:kinsoku/>
              <w:wordWrap/>
              <w:overflowPunct/>
              <w:autoSpaceDN/>
              <w:bidi w:val="0"/>
              <w:spacing w:line="440" w:lineRule="exact"/>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autoSpaceDN/>
              <w:bidi w:val="0"/>
              <w:spacing w:line="440" w:lineRule="exact"/>
              <w:textAlignment w:val="auto"/>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同本表第13条</w:t>
            </w:r>
          </w:p>
        </w:tc>
      </w:tr>
      <w:tr>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pPr>
              <w:keepNext w:val="0"/>
              <w:keepLines w:val="0"/>
              <w:pageBreakBefore w:val="0"/>
              <w:numPr>
                <w:ilvl w:val="0"/>
                <w:numId w:val="2"/>
              </w:numPr>
              <w:kinsoku/>
              <w:wordWrap/>
              <w:overflowPunct/>
              <w:autoSpaceDN/>
              <w:bidi w:val="0"/>
              <w:adjustRightInd w:val="0"/>
              <w:snapToGrid w:val="0"/>
              <w:spacing w:line="440" w:lineRule="exact"/>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pPr>
              <w:pStyle w:val="19"/>
              <w:keepNext w:val="0"/>
              <w:keepLines w:val="0"/>
              <w:pageBreakBefore w:val="0"/>
              <w:kinsoku/>
              <w:wordWrap/>
              <w:overflowPunct/>
              <w:topLinePunct/>
              <w:autoSpaceDN/>
              <w:bidi w:val="0"/>
              <w:adjustRightInd w:val="0"/>
              <w:snapToGrid w:val="0"/>
              <w:spacing w:line="440" w:lineRule="exact"/>
              <w:ind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b/>
                <w:color w:val="auto"/>
                <w:sz w:val="21"/>
                <w:szCs w:val="21"/>
                <w:highlight w:val="none"/>
                <w:u w:val="single"/>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987805.36</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50000</w:t>
            </w:r>
            <w:r>
              <w:rPr>
                <w:rFonts w:hint="eastAsia" w:ascii="宋体" w:hAnsi="宋体" w:cs="宋体"/>
                <w:color w:val="auto"/>
                <w:sz w:val="21"/>
                <w:szCs w:val="21"/>
                <w:highlight w:val="none"/>
              </w:rPr>
              <w:t>元）。应当</w:t>
            </w:r>
            <w:r>
              <w:rPr>
                <w:rFonts w:hint="eastAsia" w:ascii="宋体" w:hAnsi="宋体" w:cs="宋体"/>
                <w:b/>
                <w:bCs/>
                <w:color w:val="auto"/>
                <w:sz w:val="21"/>
                <w:szCs w:val="21"/>
                <w:highlight w:val="none"/>
                <w:u w:val="single"/>
              </w:rPr>
              <w:t>包括总价、各单位工程的分部分项工程费、措施项目费、其他项目费、不可竞争性费用和税金。</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发布时间：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2024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17</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时前。</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color w:val="auto"/>
                <w:szCs w:val="21"/>
                <w:highlight w:val="none"/>
                <w:u w:val="single"/>
                <w:lang w:eastAsia="zh-CN"/>
              </w:rPr>
            </w:pPr>
            <w:r>
              <w:rPr>
                <w:rFonts w:hint="eastAsia" w:ascii="宋体" w:hAnsi="宋体" w:cs="宋体"/>
                <w:b/>
                <w:bCs/>
                <w:color w:val="auto"/>
                <w:sz w:val="21"/>
                <w:szCs w:val="21"/>
                <w:highlight w:val="none"/>
              </w:rPr>
              <w:t>发布媒介：</w:t>
            </w:r>
            <w:r>
              <w:rPr>
                <w:rFonts w:hint="eastAsia" w:ascii="宋体" w:hAnsi="宋体" w:cs="宋体"/>
                <w:b/>
                <w:bCs/>
                <w:color w:val="auto"/>
                <w:sz w:val="21"/>
                <w:szCs w:val="21"/>
                <w:highlight w:val="none"/>
                <w:lang w:eastAsia="zh-CN"/>
              </w:rPr>
              <w:t>“滁州市兴滁矿业投资集团有限公司”（http://www.xckytz.com/）</w:t>
            </w:r>
            <w:r>
              <w:rPr>
                <w:rFonts w:hint="eastAsia" w:ascii="宋体" w:hAnsi="宋体" w:cs="宋体"/>
                <w:b/>
                <w:bCs/>
                <w:color w:val="auto"/>
                <w:sz w:val="21"/>
                <w:szCs w:val="21"/>
                <w:highlight w:val="none"/>
              </w:rPr>
              <w:t xml:space="preserve">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autoSpaceDN/>
              <w:bidi w:val="0"/>
              <w:spacing w:line="440" w:lineRule="exact"/>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w:t>
            </w:r>
          </w:p>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autoSpaceDN/>
              <w:bidi w:val="0"/>
              <w:spacing w:line="440" w:lineRule="exact"/>
              <w:jc w:val="left"/>
              <w:textAlignment w:val="auto"/>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p>
            <w:pPr>
              <w:pStyle w:val="14"/>
              <w:keepNext w:val="0"/>
              <w:keepLines w:val="0"/>
              <w:pageBreakBefore w:val="0"/>
              <w:kinsoku/>
              <w:wordWrap/>
              <w:overflowPunct/>
              <w:autoSpaceDN/>
              <w:bidi w:val="0"/>
              <w:spacing w:line="440" w:lineRule="exact"/>
              <w:ind w:left="0" w:leftChars="0" w:firstLine="0" w:firstLineChars="0"/>
              <w:textAlignment w:val="auto"/>
              <w:rPr>
                <w:color w:val="auto"/>
                <w:highlight w:val="none"/>
              </w:rPr>
            </w:pPr>
            <w:r>
              <w:rPr>
                <w:rFonts w:hint="eastAsia" w:ascii="宋体" w:hAnsi="宋体" w:cs="宋体"/>
                <w:b/>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份；中标单位领取中标通知书时，一并递交给代理机构）</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color w:val="auto"/>
                <w:sz w:val="21"/>
                <w:szCs w:val="21"/>
                <w:highlight w:val="none"/>
                <w:lang w:val="en-US" w:eastAsia="zh-CN"/>
              </w:rPr>
              <w:t>的提交</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left"/>
              <w:textAlignment w:val="auto"/>
              <w:rPr>
                <w:rStyle w:val="57"/>
                <w:rFonts w:hint="eastAsia" w:ascii="宋体" w:hAnsi="宋体" w:eastAsia="宋体" w:cs="宋体"/>
                <w:b/>
                <w:bCs/>
                <w:color w:val="auto"/>
                <w:szCs w:val="21"/>
                <w:highlight w:val="none"/>
              </w:rPr>
            </w:pPr>
            <w:r>
              <w:rPr>
                <w:rFonts w:hint="eastAsia" w:ascii="宋体" w:hAnsi="宋体" w:cs="宋体"/>
                <w:b/>
                <w:bCs/>
                <w:color w:val="auto"/>
                <w:szCs w:val="21"/>
                <w:highlight w:val="none"/>
              </w:rPr>
              <w:t>1、投标人须在投标文件截止时间前（202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fldChar w:fldCharType="begin"/>
            </w:r>
            <w:r>
              <w:rPr>
                <w:rFonts w:hint="eastAsia" w:ascii="宋体" w:hAnsi="宋体" w:cs="宋体"/>
                <w:b/>
                <w:bCs/>
                <w:color w:val="auto"/>
                <w:szCs w:val="21"/>
                <w:highlight w:val="none"/>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cs="宋体"/>
                <w:b/>
                <w:bCs/>
                <w:color w:val="auto"/>
                <w:szCs w:val="21"/>
                <w:highlight w:val="none"/>
              </w:rPr>
              <w:fldChar w:fldCharType="separate"/>
            </w:r>
            <w:r>
              <w:rPr>
                <w:rStyle w:val="57"/>
                <w:rFonts w:hint="eastAsia" w:ascii="宋体" w:hAnsi="宋体" w:cs="宋体"/>
                <w:b/>
                <w:bCs/>
                <w:color w:val="auto"/>
                <w:szCs w:val="21"/>
                <w:highlight w:val="none"/>
              </w:rPr>
              <w:t>日</w:t>
            </w:r>
            <w:r>
              <w:rPr>
                <w:rStyle w:val="57"/>
                <w:rFonts w:hint="eastAsia" w:ascii="宋体" w:hAnsi="宋体" w:cs="宋体"/>
                <w:b/>
                <w:bCs/>
                <w:color w:val="auto"/>
                <w:szCs w:val="21"/>
                <w:highlight w:val="none"/>
                <w:lang w:val="en-US" w:eastAsia="zh-CN"/>
              </w:rPr>
              <w:t>9</w:t>
            </w:r>
            <w:r>
              <w:rPr>
                <w:rStyle w:val="57"/>
                <w:rFonts w:hint="eastAsia" w:ascii="宋体" w:hAnsi="宋体" w:cs="宋体"/>
                <w:b/>
                <w:bCs/>
                <w:color w:val="auto"/>
                <w:szCs w:val="21"/>
                <w:highlight w:val="none"/>
              </w:rPr>
              <w:t>时</w:t>
            </w:r>
            <w:r>
              <w:rPr>
                <w:rStyle w:val="57"/>
                <w:rFonts w:hint="eastAsia" w:ascii="宋体" w:hAnsi="宋体" w:cs="宋体"/>
                <w:b/>
                <w:bCs/>
                <w:color w:val="auto"/>
                <w:szCs w:val="21"/>
                <w:highlight w:val="none"/>
                <w:lang w:val="en-US" w:eastAsia="zh-CN"/>
              </w:rPr>
              <w:t>0</w:t>
            </w:r>
            <w:r>
              <w:rPr>
                <w:rStyle w:val="57"/>
                <w:rFonts w:hint="eastAsia" w:ascii="宋体" w:hAnsi="宋体" w:cs="宋体"/>
                <w:b/>
                <w:bCs/>
                <w:color w:val="auto"/>
                <w:szCs w:val="21"/>
                <w:highlight w:val="none"/>
              </w:rPr>
              <w:t>0分前）将投标文件以电子邮件的方式一次性发送至czsctgczx@163.com（滁州市城投工程咨询管理有限公司邮箱），投标文件格式限定为加密PDF格式，将文件命名为“投标单位名称+项目名称</w:t>
            </w:r>
            <w:r>
              <w:rPr>
                <w:rStyle w:val="57"/>
                <w:rFonts w:hint="eastAsia" w:ascii="宋体" w:hAnsi="宋体" w:cs="宋体"/>
                <w:b/>
                <w:bCs/>
                <w:color w:val="auto"/>
                <w:szCs w:val="21"/>
                <w:highlight w:val="none"/>
                <w:lang w:val="en-US" w:eastAsia="zh-CN"/>
              </w:rPr>
              <w:t>+联系人及联系电话</w:t>
            </w:r>
            <w:r>
              <w:rPr>
                <w:rStyle w:val="57"/>
                <w:rFonts w:hint="eastAsia" w:ascii="宋体" w:hAnsi="宋体" w:cs="宋体"/>
                <w:b/>
                <w:bCs/>
                <w:color w:val="auto"/>
                <w:szCs w:val="21"/>
                <w:highlight w:val="none"/>
              </w:rPr>
              <w:t>”，未在规定时间内发送加密PDF格式投标文件，投标将被拒绝，投标文件送达时间以滁州市城投工程咨询管理有限公司邮箱显示的邮件送达时间为准，若投标人重复发送电子投标文件的，将以202</w:t>
            </w:r>
            <w:r>
              <w:rPr>
                <w:rStyle w:val="57"/>
                <w:rFonts w:hint="eastAsia" w:ascii="宋体" w:hAnsi="宋体" w:cs="宋体"/>
                <w:b/>
                <w:bCs/>
                <w:color w:val="auto"/>
                <w:szCs w:val="21"/>
                <w:highlight w:val="none"/>
                <w:lang w:val="en-US" w:eastAsia="zh-CN"/>
              </w:rPr>
              <w:t>4</w:t>
            </w:r>
            <w:r>
              <w:rPr>
                <w:rStyle w:val="57"/>
                <w:rFonts w:hint="eastAsia" w:ascii="宋体" w:hAnsi="宋体" w:cs="宋体"/>
                <w:b/>
                <w:bCs/>
                <w:color w:val="auto"/>
                <w:szCs w:val="21"/>
                <w:highlight w:val="none"/>
              </w:rPr>
              <w:t>年</w:t>
            </w:r>
            <w:r>
              <w:rPr>
                <w:rFonts w:hint="eastAsia" w:ascii="宋体" w:hAnsi="宋体" w:cs="宋体"/>
                <w:b/>
                <w:bCs/>
                <w:color w:val="auto"/>
                <w:szCs w:val="21"/>
                <w:highlight w:val="none"/>
              </w:rPr>
              <w:fldChar w:fldCharType="end"/>
            </w:r>
            <w:r>
              <w:rPr>
                <w:rFonts w:hint="eastAsia" w:ascii="宋体" w:hAnsi="宋体" w:cs="宋体"/>
                <w:b/>
                <w:bCs/>
                <w:color w:val="auto"/>
                <w:szCs w:val="21"/>
                <w:highlight w:val="none"/>
                <w:lang w:val="en-US" w:eastAsia="zh-CN"/>
              </w:rPr>
              <w:t>5月7日9</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0分前最后收到的投标文件为准,投标文件无法打开的，由</w:t>
            </w:r>
            <w:r>
              <w:rPr>
                <w:rStyle w:val="57"/>
                <w:rFonts w:hint="eastAsia" w:ascii="宋体" w:hAnsi="宋体" w:eastAsia="宋体" w:cs="宋体"/>
                <w:b/>
                <w:bCs/>
                <w:color w:val="auto"/>
                <w:szCs w:val="21"/>
                <w:highlight w:val="none"/>
              </w:rPr>
              <w:t>投标人自行承担后果。</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Style w:val="57"/>
                <w:rFonts w:hint="eastAsia" w:ascii="宋体" w:hAnsi="宋体" w:eastAsia="宋体" w:cs="宋体"/>
                <w:b/>
                <w:bCs/>
                <w:color w:val="auto"/>
                <w:szCs w:val="21"/>
                <w:highlight w:val="none"/>
              </w:rPr>
              <w:fldChar w:fldCharType="begin"/>
            </w:r>
            <w:r>
              <w:rPr>
                <w:rStyle w:val="57"/>
                <w:rFonts w:hint="eastAsia" w:ascii="宋体" w:hAnsi="宋体" w:eastAsia="宋体" w:cs="宋体"/>
                <w:b/>
                <w:bCs/>
                <w:color w:val="auto"/>
                <w:szCs w:val="21"/>
                <w:highlight w:val="none"/>
              </w:rPr>
              <w:instrText xml:space="preserve"> HYPERLINK "mailto:2、投标人在2022年  月  日14时00分至2022年  月  日14时30分内将投标文件的密码（投标单位名称+密码）发送至czsctgczx@163.com（滁州市城投工程咨询管理有限公司邮箱）。未在规定时间内发送密码的，投标将被拒绝。" </w:instrText>
            </w:r>
            <w:r>
              <w:rPr>
                <w:rStyle w:val="57"/>
                <w:rFonts w:hint="eastAsia" w:ascii="宋体" w:hAnsi="宋体" w:eastAsia="宋体" w:cs="宋体"/>
                <w:b/>
                <w:bCs/>
                <w:color w:val="auto"/>
                <w:szCs w:val="21"/>
                <w:highlight w:val="none"/>
              </w:rPr>
              <w:fldChar w:fldCharType="separate"/>
            </w:r>
            <w:r>
              <w:rPr>
                <w:rStyle w:val="57"/>
                <w:rFonts w:hint="eastAsia" w:ascii="宋体" w:hAnsi="宋体" w:eastAsia="宋体" w:cs="宋体"/>
                <w:b/>
                <w:bCs/>
                <w:color w:val="auto"/>
                <w:szCs w:val="21"/>
                <w:highlight w:val="none"/>
              </w:rPr>
              <w:t>2、投标人在202</w:t>
            </w:r>
            <w:r>
              <w:rPr>
                <w:rStyle w:val="57"/>
                <w:rFonts w:hint="eastAsia" w:ascii="宋体" w:hAnsi="宋体" w:cs="宋体"/>
                <w:b/>
                <w:bCs/>
                <w:color w:val="auto"/>
                <w:szCs w:val="21"/>
                <w:highlight w:val="none"/>
                <w:lang w:val="en-US" w:eastAsia="zh-CN"/>
              </w:rPr>
              <w:t>4</w:t>
            </w:r>
            <w:r>
              <w:rPr>
                <w:rStyle w:val="57"/>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5月7日</w:t>
            </w:r>
            <w:r>
              <w:rPr>
                <w:rStyle w:val="57"/>
                <w:rFonts w:hint="eastAsia" w:ascii="宋体" w:hAnsi="宋体" w:cs="宋体"/>
                <w:b/>
                <w:bCs/>
                <w:color w:val="auto"/>
                <w:szCs w:val="21"/>
                <w:highlight w:val="none"/>
                <w:lang w:val="en-US" w:eastAsia="zh-CN"/>
              </w:rPr>
              <w:t>9</w:t>
            </w:r>
            <w:r>
              <w:rPr>
                <w:rStyle w:val="57"/>
                <w:rFonts w:hint="eastAsia" w:ascii="宋体" w:hAnsi="宋体" w:eastAsia="宋体" w:cs="宋体"/>
                <w:b/>
                <w:bCs/>
                <w:color w:val="auto"/>
                <w:szCs w:val="21"/>
                <w:highlight w:val="none"/>
              </w:rPr>
              <w:t>时</w:t>
            </w:r>
            <w:r>
              <w:rPr>
                <w:rStyle w:val="57"/>
                <w:rFonts w:hint="eastAsia" w:ascii="宋体" w:hAnsi="宋体" w:cs="宋体"/>
                <w:b/>
                <w:bCs/>
                <w:color w:val="auto"/>
                <w:szCs w:val="21"/>
                <w:highlight w:val="none"/>
                <w:lang w:val="en-US" w:eastAsia="zh-CN"/>
              </w:rPr>
              <w:t>0</w:t>
            </w:r>
            <w:r>
              <w:rPr>
                <w:rStyle w:val="57"/>
                <w:rFonts w:hint="eastAsia" w:ascii="宋体" w:hAnsi="宋体" w:eastAsia="宋体" w:cs="宋体"/>
                <w:b/>
                <w:bCs/>
                <w:color w:val="auto"/>
                <w:szCs w:val="21"/>
                <w:highlight w:val="none"/>
              </w:rPr>
              <w:t>0分至202</w:t>
            </w:r>
            <w:r>
              <w:rPr>
                <w:rStyle w:val="57"/>
                <w:rFonts w:hint="eastAsia" w:ascii="宋体" w:hAnsi="宋体" w:cs="宋体"/>
                <w:b/>
                <w:bCs/>
                <w:color w:val="auto"/>
                <w:szCs w:val="21"/>
                <w:highlight w:val="none"/>
                <w:lang w:val="en-US" w:eastAsia="zh-CN"/>
              </w:rPr>
              <w:t>4</w:t>
            </w:r>
            <w:r>
              <w:rPr>
                <w:rStyle w:val="57"/>
                <w:rFonts w:hint="eastAsia" w:ascii="宋体" w:hAnsi="宋体" w:eastAsia="宋体" w:cs="宋体"/>
                <w:b/>
                <w:bCs/>
                <w:color w:val="auto"/>
                <w:szCs w:val="21"/>
                <w:highlight w:val="none"/>
              </w:rPr>
              <w:t>年</w:t>
            </w:r>
            <w:r>
              <w:rPr>
                <w:rStyle w:val="57"/>
                <w:rFonts w:hint="eastAsia" w:ascii="宋体" w:hAnsi="宋体" w:cs="宋体"/>
                <w:b/>
                <w:bCs/>
                <w:color w:val="auto"/>
                <w:szCs w:val="21"/>
                <w:highlight w:val="none"/>
                <w:lang w:val="en-US" w:eastAsia="zh-CN"/>
              </w:rPr>
              <w:t>5月7日9</w:t>
            </w:r>
            <w:r>
              <w:rPr>
                <w:rStyle w:val="57"/>
                <w:rFonts w:hint="eastAsia" w:ascii="宋体" w:hAnsi="宋体" w:eastAsia="宋体" w:cs="宋体"/>
                <w:b/>
                <w:bCs/>
                <w:color w:val="auto"/>
                <w:szCs w:val="21"/>
                <w:highlight w:val="none"/>
              </w:rPr>
              <w:t>时</w:t>
            </w:r>
            <w:r>
              <w:rPr>
                <w:rStyle w:val="57"/>
                <w:rFonts w:hint="eastAsia" w:ascii="宋体" w:hAnsi="宋体" w:cs="宋体"/>
                <w:b/>
                <w:bCs/>
                <w:color w:val="auto"/>
                <w:szCs w:val="21"/>
                <w:highlight w:val="none"/>
                <w:lang w:val="en-US" w:eastAsia="zh-CN"/>
              </w:rPr>
              <w:t>1</w:t>
            </w:r>
            <w:r>
              <w:rPr>
                <w:rStyle w:val="57"/>
                <w:rFonts w:hint="eastAsia" w:ascii="宋体" w:hAnsi="宋体" w:eastAsia="宋体" w:cs="宋体"/>
                <w:b/>
                <w:bCs/>
                <w:color w:val="auto"/>
                <w:szCs w:val="21"/>
                <w:highlight w:val="none"/>
                <w:lang w:val="en-US" w:eastAsia="zh-CN"/>
              </w:rPr>
              <w:t>0</w:t>
            </w:r>
            <w:r>
              <w:rPr>
                <w:rStyle w:val="57"/>
                <w:rFonts w:hint="eastAsia" w:ascii="宋体" w:hAnsi="宋体" w:eastAsia="宋体" w:cs="宋体"/>
                <w:b/>
                <w:bCs/>
                <w:color w:val="auto"/>
                <w:szCs w:val="21"/>
                <w:highlight w:val="none"/>
              </w:rPr>
              <w:t>分内将投标文件的密码（投标单位名称+密码）发送至czsctgczx@163.com（滁州市城投工程咨询管理有限公司邮箱）。未在规定时间内发送密码的，投标将被拒绝。</w:t>
            </w:r>
            <w:r>
              <w:rPr>
                <w:rStyle w:val="57"/>
                <w:rFonts w:hint="eastAsia" w:ascii="宋体" w:hAnsi="宋体" w:eastAsia="宋体" w:cs="宋体"/>
                <w:b/>
                <w:bCs/>
                <w:color w:val="auto"/>
                <w:szCs w:val="21"/>
                <w:highlight w:val="none"/>
              </w:rPr>
              <w:fldChar w:fldCharType="end"/>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□允许：/</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开标时间：202</w:t>
            </w:r>
            <w:r>
              <w:rPr>
                <w:rFonts w:hint="eastAsia" w:ascii="宋体" w:hAnsi="宋体" w:cs="宋体"/>
                <w:color w:val="auto"/>
                <w:kern w:val="2"/>
                <w:sz w:val="21"/>
                <w:szCs w:val="21"/>
                <w:highlight w:val="none"/>
                <w:u w:color="000000"/>
                <w:lang w:val="en-US" w:eastAsia="zh-CN" w:bidi="ar"/>
              </w:rPr>
              <w:t>4</w:t>
            </w:r>
            <w:r>
              <w:rPr>
                <w:rFonts w:hint="eastAsia" w:ascii="宋体" w:hAnsi="宋体" w:eastAsia="宋体" w:cs="宋体"/>
                <w:color w:val="auto"/>
                <w:kern w:val="2"/>
                <w:sz w:val="21"/>
                <w:szCs w:val="21"/>
                <w:highlight w:val="none"/>
                <w:u w:color="000000"/>
                <w:lang w:val="en-US" w:eastAsia="zh-CN" w:bidi="ar"/>
              </w:rPr>
              <w:t>年</w:t>
            </w:r>
            <w:r>
              <w:rPr>
                <w:rFonts w:hint="eastAsia" w:ascii="宋体" w:hAnsi="宋体" w:cs="宋体"/>
                <w:color w:val="auto"/>
                <w:kern w:val="2"/>
                <w:sz w:val="21"/>
                <w:szCs w:val="21"/>
                <w:highlight w:val="none"/>
                <w:u w:color="000000"/>
                <w:lang w:val="en-US" w:eastAsia="zh-CN" w:bidi="ar"/>
              </w:rPr>
              <w:t>5月7日9</w:t>
            </w:r>
            <w:r>
              <w:rPr>
                <w:rFonts w:hint="eastAsia" w:ascii="宋体" w:hAnsi="宋体" w:eastAsia="宋体" w:cs="宋体"/>
                <w:color w:val="auto"/>
                <w:kern w:val="2"/>
                <w:sz w:val="21"/>
                <w:szCs w:val="21"/>
                <w:highlight w:val="none"/>
                <w:u w:color="000000"/>
                <w:lang w:val="en-US" w:eastAsia="zh-CN" w:bidi="ar"/>
              </w:rPr>
              <w:t>时</w:t>
            </w:r>
            <w:r>
              <w:rPr>
                <w:rFonts w:hint="eastAsia" w:ascii="宋体" w:hAnsi="宋体" w:cs="宋体"/>
                <w:color w:val="auto"/>
                <w:kern w:val="2"/>
                <w:sz w:val="21"/>
                <w:szCs w:val="21"/>
                <w:highlight w:val="none"/>
                <w:u w:color="000000"/>
                <w:lang w:val="en-US" w:eastAsia="zh-CN" w:bidi="ar"/>
              </w:rPr>
              <w:t>0</w:t>
            </w:r>
            <w:r>
              <w:rPr>
                <w:rFonts w:hint="eastAsia" w:ascii="宋体" w:hAnsi="宋体" w:eastAsia="宋体" w:cs="宋体"/>
                <w:color w:val="auto"/>
                <w:kern w:val="2"/>
                <w:sz w:val="21"/>
                <w:szCs w:val="21"/>
                <w:highlight w:val="none"/>
                <w:u w:color="000000"/>
                <w:lang w:val="en-US" w:eastAsia="zh-CN" w:bidi="ar"/>
              </w:rPr>
              <w:t>0分（北京时间）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开标地点：</w:t>
            </w:r>
            <w:r>
              <w:rPr>
                <w:rFonts w:hint="eastAsia" w:ascii="宋体" w:hAnsi="宋体" w:eastAsia="宋体" w:cs="宋体"/>
                <w:color w:val="auto"/>
                <w:szCs w:val="21"/>
                <w:highlight w:val="none"/>
                <w:lang w:val="en-US" w:eastAsia="zh-CN"/>
              </w:rPr>
              <w:t>滁州市城投工程咨询管理有限公司(滁州市龙蟠大道109号房产大厦六楼6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E/>
              <w:autoSpaceDN/>
              <w:bidi w:val="0"/>
              <w:spacing w:line="4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color w:val="auto"/>
                <w:szCs w:val="21"/>
                <w:highlight w:val="none"/>
              </w:rPr>
              <w:t>银行转帐或</w:t>
            </w:r>
            <w:r>
              <w:rPr>
                <w:rFonts w:hint="eastAsia" w:ascii="宋体" w:hAnsi="宋体" w:cs="宋体"/>
                <w:bCs/>
                <w:color w:val="auto"/>
                <w:szCs w:val="21"/>
                <w:highlight w:val="none"/>
                <w:lang w:val="zh-CN"/>
              </w:rPr>
              <w:t>银行保函方式【须为见索即付保函（无条件保函）】</w:t>
            </w:r>
            <w:r>
              <w:rPr>
                <w:rFonts w:hint="eastAsia" w:ascii="宋体" w:hAnsi="宋体" w:cs="宋体"/>
                <w:color w:val="auto"/>
                <w:szCs w:val="21"/>
                <w:highlight w:val="none"/>
              </w:rPr>
              <w:t xml:space="preserve"> </w:t>
            </w:r>
          </w:p>
          <w:p>
            <w:pPr>
              <w:keepNext w:val="0"/>
              <w:keepLines w:val="0"/>
              <w:pageBreakBefore w:val="0"/>
              <w:kinsoku/>
              <w:wordWrap/>
              <w:overflowPunct/>
              <w:autoSpaceDE/>
              <w:autoSpaceDN/>
              <w:bidi w:val="0"/>
              <w:spacing w:line="44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cs="宋体"/>
                <w:color w:val="auto"/>
                <w:szCs w:val="21"/>
                <w:highlight w:val="none"/>
                <w:lang w:val="en-US" w:eastAsia="zh-CN"/>
              </w:rPr>
              <w:t>合同估算价款</w:t>
            </w:r>
            <w:r>
              <w:rPr>
                <w:rFonts w:hint="eastAsia" w:ascii="宋体" w:hAnsi="宋体" w:cs="宋体"/>
                <w:bCs/>
                <w:color w:val="auto"/>
                <w:szCs w:val="21"/>
                <w:highlight w:val="none"/>
              </w:rPr>
              <w:t>×2%</w:t>
            </w:r>
          </w:p>
          <w:p>
            <w:pPr>
              <w:keepNext w:val="0"/>
              <w:keepLines w:val="0"/>
              <w:pageBreakBefore w:val="0"/>
              <w:kinsoku/>
              <w:wordWrap/>
              <w:overflowPunct/>
              <w:autoSpaceDN/>
              <w:bidi w:val="0"/>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注：投标保证金可转为履约保证金，金额不足的可按以上形式补齐。</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pPr>
              <w:keepNext w:val="0"/>
              <w:keepLines w:val="0"/>
              <w:pageBreakBefore w:val="0"/>
              <w:kinsoku/>
              <w:wordWrap/>
              <w:overflowPunct/>
              <w:autoSpaceDN/>
              <w:bidi w:val="0"/>
              <w:spacing w:line="440" w:lineRule="exac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中标人须在中标通知书发出后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日内完成履约保证金或履约保函缴纳及合同签订。中标单位原因造成合同延期签订的，每延期一天按1000元</w:t>
            </w:r>
            <w:r>
              <w:rPr>
                <w:rFonts w:hint="eastAsia" w:ascii="宋体" w:hAnsi="宋体" w:cs="宋体"/>
                <w:color w:val="auto"/>
                <w:szCs w:val="21"/>
                <w:highlight w:val="none"/>
                <w:lang w:val="en-US" w:eastAsia="zh-CN"/>
              </w:rPr>
              <w:t>处以违约金</w:t>
            </w:r>
            <w:r>
              <w:rPr>
                <w:rFonts w:hint="eastAsia" w:ascii="宋体" w:hAnsi="宋体" w:cs="宋体"/>
                <w:color w:val="auto"/>
                <w:szCs w:val="21"/>
                <w:highlight w:val="none"/>
              </w:rPr>
              <w:t xml:space="preserve">，延期签订情节严重的，招标人有权取消其中标资格。并承担给招标人造成的损失，同时依法承担相应法律责任。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履约保证金退还时限：履约保证金有效期满7日内（最迟不得超过项目竣工验收通过后28天）</w:t>
            </w:r>
            <w:r>
              <w:rPr>
                <w:rFonts w:hint="eastAsia" w:cs="宋体"/>
                <w:color w:val="auto"/>
                <w:sz w:val="21"/>
                <w:szCs w:val="21"/>
                <w:highlight w:val="none"/>
                <w:lang w:val="en-US" w:eastAsia="zh-CN"/>
              </w:rPr>
              <w:t>。</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①保函形式须为见索即付型（无条件保函）；②须有保函编号；③须加盖银行公章而非银行业务专用章；④格式见合同附件；⑤保函的有效期不低于本项目质量验收合格后</w:t>
            </w:r>
            <w:r>
              <w:rPr>
                <w:rFonts w:hint="eastAsia" w:ascii="宋体" w:hAnsi="宋体" w:cs="宋体"/>
                <w:color w:val="auto"/>
                <w:szCs w:val="21"/>
                <w:highlight w:val="none"/>
                <w:lang w:eastAsia="zh-CN"/>
              </w:rPr>
              <w:t>；</w:t>
            </w:r>
            <w:r>
              <w:rPr>
                <w:rFonts w:hint="eastAsia" w:ascii="宋体" w:hAnsi="宋体" w:cs="宋体"/>
                <w:color w:val="auto"/>
                <w:szCs w:val="21"/>
                <w:highlight w:val="none"/>
              </w:rPr>
              <w:t>⑥须由滁州本地银行或在滁州具有分支机构的银行出具。 </w:t>
            </w:r>
          </w:p>
        </w:tc>
      </w:tr>
      <w:tr>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left"/>
              <w:textAlignment w:val="auto"/>
              <w:rPr>
                <w:rFonts w:ascii="宋体" w:hAnsi="宋体" w:cs="宋体"/>
                <w:color w:val="auto"/>
                <w:szCs w:val="21"/>
                <w:highlight w:val="none"/>
              </w:rPr>
            </w:pPr>
            <w:r>
              <w:rPr>
                <w:rFonts w:hint="eastAsia" w:ascii="宋体" w:hAnsi="宋体" w:cs="宋体"/>
                <w:b w:val="0"/>
                <w:bCs w:val="0"/>
                <w:strike w:val="0"/>
                <w:color w:val="auto"/>
                <w:szCs w:val="21"/>
                <w:highlight w:val="none"/>
                <w:lang w:val="en-US" w:eastAsia="zh-CN"/>
              </w:rPr>
              <w:t>施工完成并通过招标人审核无误，设备调试运行正常后支付合同总价的60%。项目竣工验收并经招标人委托的跟</w:t>
            </w:r>
            <w:r>
              <w:rPr>
                <w:rFonts w:hint="eastAsia" w:ascii="宋体" w:hAnsi="宋体" w:cs="宋体"/>
                <w:color w:val="auto"/>
                <w:szCs w:val="21"/>
                <w:highlight w:val="none"/>
                <w:lang w:val="en-US" w:eastAsia="zh-CN"/>
              </w:rPr>
              <w:t>踪审计单位</w:t>
            </w:r>
            <w:r>
              <w:rPr>
                <w:rFonts w:hint="eastAsia" w:ascii="宋体" w:hAnsi="宋体" w:cs="宋体"/>
                <w:color w:val="auto"/>
                <w:szCs w:val="21"/>
                <w:highlight w:val="none"/>
              </w:rPr>
              <w:t>出具审定意见书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并由中标人</w:t>
            </w:r>
            <w:r>
              <w:rPr>
                <w:rFonts w:hint="eastAsia" w:ascii="宋体" w:hAnsi="宋体" w:cs="宋体"/>
                <w:color w:val="auto"/>
                <w:szCs w:val="21"/>
                <w:highlight w:val="none"/>
              </w:rPr>
              <w:t>提交合规的发票</w:t>
            </w:r>
            <w:r>
              <w:rPr>
                <w:rFonts w:hint="eastAsia" w:ascii="宋体" w:hAnsi="宋体" w:cs="宋体"/>
                <w:color w:val="auto"/>
                <w:szCs w:val="21"/>
                <w:highlight w:val="none"/>
                <w:lang w:val="en-US" w:eastAsia="zh-CN"/>
              </w:rPr>
              <w:t>后，支付至审定价款的95%，剩余5%作为质量保证金</w:t>
            </w:r>
            <w:r>
              <w:rPr>
                <w:rFonts w:hint="eastAsia" w:ascii="宋体" w:hAnsi="宋体" w:eastAsia="宋体" w:cs="宋体"/>
                <w:color w:val="auto"/>
                <w:szCs w:val="21"/>
                <w:highlight w:val="none"/>
                <w:lang w:val="en-US" w:eastAsia="zh-CN"/>
              </w:rPr>
              <w:t>在工程缺陷责任期（缺陷责任期</w:t>
            </w:r>
            <w:r>
              <w:rPr>
                <w:rFonts w:hint="eastAsia" w:ascii="宋体" w:hAnsi="宋体" w:cs="宋体"/>
                <w:color w:val="auto"/>
                <w:szCs w:val="21"/>
                <w:highlight w:val="none"/>
                <w:lang w:val="en-US" w:eastAsia="zh-CN"/>
              </w:rPr>
              <w:t>2年，</w:t>
            </w:r>
            <w:r>
              <w:rPr>
                <w:rFonts w:hint="eastAsia" w:ascii="宋体" w:hAnsi="宋体" w:eastAsia="宋体" w:cs="宋体"/>
                <w:color w:val="auto"/>
                <w:szCs w:val="21"/>
                <w:highlight w:val="none"/>
                <w:lang w:val="en-US" w:eastAsia="zh-CN"/>
              </w:rPr>
              <w:t>从</w:t>
            </w:r>
            <w:r>
              <w:rPr>
                <w:rFonts w:hint="eastAsia" w:ascii="宋体" w:hAnsi="宋体" w:cs="宋体"/>
                <w:color w:val="auto"/>
                <w:szCs w:val="21"/>
                <w:highlight w:val="none"/>
                <w:lang w:val="en-US" w:eastAsia="zh-CN"/>
              </w:rPr>
              <w:t>竣工</w:t>
            </w:r>
            <w:r>
              <w:rPr>
                <w:rFonts w:hint="eastAsia" w:ascii="宋体" w:hAnsi="宋体" w:eastAsia="宋体" w:cs="宋体"/>
                <w:color w:val="auto"/>
                <w:szCs w:val="21"/>
                <w:highlight w:val="none"/>
                <w:lang w:val="en-US" w:eastAsia="zh-CN"/>
              </w:rPr>
              <w:t>验收合格之日起计算）满后一个月内付清</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（采用工程质量保证担保、工程质量保险等其他保证方式的，</w:t>
            </w:r>
            <w:r>
              <w:rPr>
                <w:rFonts w:hint="eastAsia" w:ascii="宋体" w:hAnsi="宋体" w:cs="宋体"/>
                <w:color w:val="auto"/>
                <w:szCs w:val="21"/>
                <w:highlight w:val="none"/>
                <w:lang w:val="en-US" w:eastAsia="zh-CN"/>
              </w:rPr>
              <w:t>招标人</w:t>
            </w:r>
            <w:r>
              <w:rPr>
                <w:rFonts w:hint="eastAsia" w:ascii="宋体" w:hAnsi="宋体" w:eastAsia="宋体" w:cs="宋体"/>
                <w:color w:val="auto"/>
                <w:szCs w:val="21"/>
                <w:highlight w:val="none"/>
                <w:lang w:val="en-US" w:eastAsia="zh-CN"/>
              </w:rPr>
              <w:t>不再预留质量保证金。）</w:t>
            </w:r>
          </w:p>
        </w:tc>
      </w:tr>
      <w:tr>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4939</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代理服务费及专家费支付主体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pPr>
        <w:rPr>
          <w:rFonts w:hint="eastAsia" w:ascii="宋体" w:hAnsi="宋体" w:eastAsia="宋体" w:cs="宋体"/>
          <w:color w:val="auto"/>
          <w:sz w:val="24"/>
          <w:szCs w:val="24"/>
          <w:highlight w:val="none"/>
        </w:rPr>
      </w:pPr>
      <w:bookmarkStart w:id="53" w:name="_Toc78803322"/>
      <w:bookmarkStart w:id="54" w:name="_Toc5813"/>
      <w:bookmarkStart w:id="55" w:name="_Toc35424887"/>
      <w:bookmarkStart w:id="56" w:name="_Toc35425053"/>
      <w:bookmarkStart w:id="57" w:name="_Toc15058846"/>
      <w:r>
        <w:rPr>
          <w:rFonts w:hint="eastAsia" w:ascii="宋体" w:hAnsi="宋体" w:eastAsia="宋体" w:cs="宋体"/>
          <w:color w:val="auto"/>
          <w:sz w:val="24"/>
          <w:szCs w:val="24"/>
          <w:highlight w:val="none"/>
        </w:rPr>
        <w:br w:type="page"/>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58" w:name="_Toc506107270"/>
      <w:bookmarkStart w:id="59" w:name="_Toc35424888"/>
      <w:bookmarkStart w:id="60" w:name="_Toc35425054"/>
      <w:bookmarkStart w:id="61" w:name="_Toc324404816"/>
      <w:bookmarkStart w:id="62" w:name="_Toc15058847"/>
      <w:bookmarkStart w:id="63" w:name="_Toc152042306"/>
      <w:bookmarkStart w:id="64" w:name="_Toc179632547"/>
      <w:bookmarkStart w:id="65" w:name="_Toc152045530"/>
      <w:bookmarkStart w:id="66" w:name="_Toc78803323"/>
      <w:bookmarkStart w:id="67" w:name="_Toc246996919"/>
      <w:bookmarkStart w:id="68" w:name="_Toc4678"/>
      <w:bookmarkStart w:id="69" w:name="_Toc296602421"/>
      <w:bookmarkStart w:id="70" w:name="_Toc246996176"/>
      <w:bookmarkStart w:id="71" w:name="_Toc247085690"/>
      <w:bookmarkStart w:id="72" w:name="_Toc144974498"/>
      <w:r>
        <w:rPr>
          <w:rFonts w:hint="eastAsia" w:ascii="宋体" w:hAnsi="宋体" w:eastAsia="宋体" w:cs="宋体"/>
          <w:color w:val="auto"/>
          <w:kern w:val="44"/>
          <w:highlight w:val="none"/>
        </w:rPr>
        <w:t>1.1 项目概况</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3" w:name="_Toc144974499"/>
      <w:bookmarkStart w:id="74" w:name="_Toc152045531"/>
      <w:bookmarkStart w:id="75" w:name="_Toc7142"/>
      <w:bookmarkStart w:id="76" w:name="_Toc506107271"/>
      <w:bookmarkStart w:id="77" w:name="_Toc246996177"/>
      <w:bookmarkStart w:id="78" w:name="_Toc246996920"/>
      <w:bookmarkStart w:id="79" w:name="_Toc296602422"/>
      <w:bookmarkStart w:id="80" w:name="_Toc324404817"/>
      <w:bookmarkStart w:id="81" w:name="_Toc35424889"/>
      <w:bookmarkStart w:id="82" w:name="_Toc78803324"/>
      <w:bookmarkStart w:id="83" w:name="_Toc35425055"/>
      <w:bookmarkStart w:id="84" w:name="_Toc15058848"/>
      <w:bookmarkStart w:id="85" w:name="_Toc152042307"/>
      <w:bookmarkStart w:id="86" w:name="_Toc247085691"/>
      <w:bookmarkStart w:id="87" w:name="_Toc179632548"/>
      <w:r>
        <w:rPr>
          <w:rFonts w:hint="eastAsia" w:ascii="宋体" w:hAnsi="宋体" w:eastAsia="宋体" w:cs="宋体"/>
          <w:color w:val="auto"/>
          <w:highlight w:val="none"/>
        </w:rPr>
        <w:t>1.2 资金来源和落实情况</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8" w:name="_Toc246996178"/>
      <w:bookmarkStart w:id="89" w:name="_Toc324404818"/>
      <w:bookmarkStart w:id="90" w:name="_Toc296602423"/>
      <w:bookmarkStart w:id="91" w:name="_Toc179632549"/>
      <w:bookmarkStart w:id="92" w:name="_Toc247085692"/>
      <w:bookmarkStart w:id="93" w:name="_Toc152042308"/>
      <w:bookmarkStart w:id="94" w:name="_Toc15058849"/>
      <w:bookmarkStart w:id="95" w:name="_Toc144974500"/>
      <w:bookmarkStart w:id="96" w:name="_Toc246996921"/>
      <w:bookmarkStart w:id="97" w:name="_Toc506107272"/>
      <w:bookmarkStart w:id="98" w:name="_Toc6330"/>
      <w:bookmarkStart w:id="99" w:name="_Toc35425056"/>
      <w:bookmarkStart w:id="100" w:name="_Toc78803325"/>
      <w:bookmarkStart w:id="101" w:name="_Toc35424890"/>
      <w:bookmarkStart w:id="102" w:name="_Toc152045532"/>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3" w:name="_Toc15058850"/>
      <w:bookmarkStart w:id="104" w:name="_Toc246996179"/>
      <w:bookmarkStart w:id="105" w:name="_Toc26897"/>
      <w:bookmarkStart w:id="106" w:name="_Toc144974502"/>
      <w:bookmarkStart w:id="107" w:name="_Toc247085693"/>
      <w:bookmarkStart w:id="108" w:name="_Toc179632551"/>
      <w:bookmarkStart w:id="109" w:name="_Toc296602424"/>
      <w:bookmarkStart w:id="110" w:name="_Toc152045534"/>
      <w:bookmarkStart w:id="111" w:name="_Toc506107273"/>
      <w:bookmarkStart w:id="112" w:name="_Toc324404819"/>
      <w:bookmarkStart w:id="113" w:name="_Toc35424891"/>
      <w:bookmarkStart w:id="114" w:name="_Toc152042310"/>
      <w:bookmarkStart w:id="115" w:name="_Toc35425057"/>
      <w:bookmarkStart w:id="116" w:name="_Toc78803326"/>
      <w:bookmarkStart w:id="117" w:name="_Toc246996922"/>
      <w:r>
        <w:rPr>
          <w:rFonts w:hint="eastAsia" w:ascii="宋体" w:hAnsi="宋体" w:eastAsia="宋体" w:cs="宋体"/>
          <w:color w:val="auto"/>
          <w:highlight w:val="none"/>
        </w:rPr>
        <w:t>1.4 投标人资格要求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8" w:name="_Toc247085694"/>
      <w:bookmarkStart w:id="119" w:name="_Toc246996180"/>
      <w:bookmarkStart w:id="120" w:name="_Toc179632552"/>
      <w:bookmarkStart w:id="121" w:name="_Toc144974503"/>
      <w:bookmarkStart w:id="122" w:name="_Toc15058851"/>
      <w:bookmarkStart w:id="123" w:name="_Toc152042311"/>
      <w:bookmarkStart w:id="124" w:name="_Toc324404820"/>
      <w:bookmarkStart w:id="125" w:name="_Toc506107274"/>
      <w:bookmarkStart w:id="126" w:name="_Toc78803327"/>
      <w:bookmarkStart w:id="127" w:name="_Toc35425058"/>
      <w:bookmarkStart w:id="128" w:name="_Toc296602425"/>
      <w:bookmarkStart w:id="129" w:name="_Toc246996923"/>
      <w:bookmarkStart w:id="130" w:name="_Toc10179"/>
      <w:bookmarkStart w:id="131" w:name="_Toc152045535"/>
      <w:bookmarkStart w:id="132" w:name="_Toc35424892"/>
      <w:r>
        <w:rPr>
          <w:rFonts w:hint="eastAsia" w:ascii="宋体" w:hAnsi="宋体" w:eastAsia="宋体" w:cs="宋体"/>
          <w:color w:val="auto"/>
          <w:highlight w:val="none"/>
        </w:rPr>
        <w:t>1.5 费用承担</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3" w:name="_Toc246996181"/>
      <w:bookmarkStart w:id="134" w:name="_Toc506107275"/>
      <w:bookmarkStart w:id="135" w:name="_Toc152045536"/>
      <w:bookmarkStart w:id="136" w:name="_Toc152042312"/>
      <w:bookmarkStart w:id="137" w:name="_Toc35425059"/>
      <w:bookmarkStart w:id="138" w:name="_Toc15058852"/>
      <w:bookmarkStart w:id="139" w:name="_Toc324404821"/>
      <w:bookmarkStart w:id="140" w:name="_Toc4092"/>
      <w:bookmarkStart w:id="141" w:name="_Toc78803328"/>
      <w:bookmarkStart w:id="142" w:name="_Toc35424893"/>
      <w:bookmarkStart w:id="143" w:name="_Toc296602426"/>
      <w:bookmarkStart w:id="144" w:name="_Toc247085695"/>
      <w:bookmarkStart w:id="145" w:name="_Toc144974504"/>
      <w:bookmarkStart w:id="146" w:name="_Toc246996924"/>
      <w:bookmarkStart w:id="147" w:name="_Toc179632553"/>
      <w:r>
        <w:rPr>
          <w:rFonts w:hint="eastAsia" w:ascii="宋体" w:hAnsi="宋体" w:eastAsia="宋体" w:cs="宋体"/>
          <w:color w:val="auto"/>
          <w:highlight w:val="none"/>
        </w:rPr>
        <w:t>1.6 保密</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8" w:name="_Toc144974505"/>
      <w:bookmarkStart w:id="149" w:name="_Toc506107276"/>
      <w:bookmarkStart w:id="150" w:name="_Toc247085696"/>
      <w:bookmarkStart w:id="151" w:name="_Toc296602427"/>
      <w:bookmarkStart w:id="152" w:name="_Toc179632554"/>
      <w:bookmarkStart w:id="153" w:name="_Toc4119"/>
      <w:bookmarkStart w:id="154" w:name="_Toc78803329"/>
      <w:bookmarkStart w:id="155" w:name="_Toc246996925"/>
      <w:bookmarkStart w:id="156" w:name="_Toc15058853"/>
      <w:bookmarkStart w:id="157" w:name="_Toc35425060"/>
      <w:bookmarkStart w:id="158" w:name="_Toc35424894"/>
      <w:bookmarkStart w:id="159" w:name="_Toc152042313"/>
      <w:bookmarkStart w:id="160" w:name="_Toc324404822"/>
      <w:bookmarkStart w:id="161" w:name="_Toc246996182"/>
      <w:bookmarkStart w:id="162" w:name="_Toc152045537"/>
      <w:r>
        <w:rPr>
          <w:rFonts w:hint="eastAsia" w:ascii="宋体" w:hAnsi="宋体" w:eastAsia="宋体" w:cs="宋体"/>
          <w:color w:val="auto"/>
          <w:highlight w:val="none"/>
        </w:rPr>
        <w:t>1.7 语言</w:t>
      </w:r>
      <w:bookmarkEnd w:id="148"/>
      <w:r>
        <w:rPr>
          <w:rFonts w:hint="eastAsia" w:ascii="宋体" w:hAnsi="宋体" w:eastAsia="宋体" w:cs="宋体"/>
          <w:color w:val="auto"/>
          <w:highlight w:val="none"/>
        </w:rPr>
        <w:t>文字</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3" w:name="_Toc152045538"/>
      <w:bookmarkStart w:id="164" w:name="_Toc152042314"/>
      <w:bookmarkStart w:id="165" w:name="_Toc144974506"/>
      <w:bookmarkStart w:id="166" w:name="_Toc246996926"/>
      <w:bookmarkStart w:id="167" w:name="_Toc246996183"/>
      <w:bookmarkStart w:id="168" w:name="_Toc247085697"/>
      <w:bookmarkStart w:id="169" w:name="_Toc179632555"/>
      <w:r>
        <w:rPr>
          <w:rFonts w:hint="eastAsia" w:ascii="宋体" w:hAnsi="宋体" w:cs="宋体"/>
          <w:color w:val="auto"/>
          <w:szCs w:val="21"/>
          <w:highlight w:val="none"/>
        </w:rPr>
        <w:t>招标投标文件使用的语言文字为中文。专用术语使用外文的，应附有中文注释。</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0" w:name="_Toc296602428"/>
      <w:bookmarkStart w:id="171" w:name="_Toc13408"/>
      <w:bookmarkStart w:id="172" w:name="_Toc324404823"/>
      <w:bookmarkStart w:id="173" w:name="_Toc35424895"/>
      <w:bookmarkStart w:id="174" w:name="_Toc35425061"/>
      <w:bookmarkStart w:id="175" w:name="_Toc78803330"/>
      <w:bookmarkStart w:id="176" w:name="_Toc15058854"/>
      <w:bookmarkStart w:id="177" w:name="_Toc506107277"/>
      <w:r>
        <w:rPr>
          <w:rFonts w:hint="eastAsia" w:ascii="宋体" w:hAnsi="宋体" w:eastAsia="宋体" w:cs="宋体"/>
          <w:color w:val="auto"/>
          <w:highlight w:val="none"/>
        </w:rPr>
        <w:t>1.8 计量单位</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296602429"/>
      <w:bookmarkStart w:id="179" w:name="_Toc35425062"/>
      <w:bookmarkStart w:id="180" w:name="_Toc78803331"/>
      <w:bookmarkStart w:id="181" w:name="_Toc247527563"/>
      <w:bookmarkStart w:id="182" w:name="_Toc35424896"/>
      <w:bookmarkStart w:id="183" w:name="_Toc324404824"/>
      <w:bookmarkStart w:id="184" w:name="_Toc152042315"/>
      <w:bookmarkStart w:id="185" w:name="_Toc152045539"/>
      <w:bookmarkStart w:id="186" w:name="_Toc247513962"/>
      <w:bookmarkStart w:id="187" w:name="_Toc506107278"/>
      <w:bookmarkStart w:id="188" w:name="_Toc11493"/>
      <w:bookmarkStart w:id="189" w:name="_Toc15058855"/>
      <w:bookmarkStart w:id="190" w:name="_Toc144974507"/>
      <w:bookmarkStart w:id="191" w:name="_Toc247592876"/>
      <w:r>
        <w:rPr>
          <w:rFonts w:hint="eastAsia" w:ascii="宋体" w:hAnsi="宋体" w:eastAsia="宋体" w:cs="宋体"/>
          <w:color w:val="auto"/>
          <w:highlight w:val="none"/>
        </w:rPr>
        <w:t>1.9 踏勘现场</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2" w:name="_Toc324404825"/>
      <w:bookmarkStart w:id="193" w:name="_Toc247592877"/>
      <w:bookmarkStart w:id="194" w:name="_Toc247513963"/>
      <w:bookmarkStart w:id="195" w:name="_Toc144974508"/>
      <w:bookmarkStart w:id="196" w:name="_Toc35424897"/>
      <w:bookmarkStart w:id="197" w:name="_Toc152042316"/>
      <w:bookmarkStart w:id="198" w:name="_Toc78803332"/>
      <w:bookmarkStart w:id="199" w:name="_Toc247527564"/>
      <w:bookmarkStart w:id="200" w:name="_Toc152045540"/>
      <w:bookmarkStart w:id="201" w:name="_Toc506107279"/>
      <w:bookmarkStart w:id="202" w:name="_Toc35425063"/>
      <w:bookmarkStart w:id="203" w:name="_Toc22954"/>
      <w:bookmarkStart w:id="204" w:name="_Toc15058856"/>
      <w:bookmarkStart w:id="205" w:name="_Toc296602430"/>
      <w:r>
        <w:rPr>
          <w:rFonts w:hint="eastAsia" w:ascii="宋体" w:hAnsi="宋体" w:eastAsia="宋体" w:cs="宋体"/>
          <w:color w:val="auto"/>
          <w:highlight w:val="none"/>
        </w:rPr>
        <w:t>1.10 投标预备会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06" w:name="_Toc296602431"/>
      <w:bookmarkStart w:id="207" w:name="_Toc506107280"/>
      <w:bookmarkStart w:id="208" w:name="_Toc324404826"/>
      <w:bookmarkStart w:id="209" w:name="_Toc15058857"/>
      <w:bookmarkStart w:id="210" w:name="_Toc95223347"/>
      <w:bookmarkStart w:id="211" w:name="_Toc83301699"/>
      <w:bookmarkStart w:id="212" w:name="_Toc60061444"/>
      <w:bookmarkStart w:id="213" w:name="_Toc246996930"/>
      <w:bookmarkStart w:id="214" w:name="_Toc35425065"/>
      <w:bookmarkStart w:id="215" w:name="_Toc179632560"/>
      <w:bookmarkStart w:id="216" w:name="_Toc152045542"/>
      <w:bookmarkStart w:id="217" w:name="_Toc324404827"/>
      <w:bookmarkStart w:id="218" w:name="_Toc152042318"/>
      <w:bookmarkStart w:id="219" w:name="_Toc15058858"/>
      <w:bookmarkStart w:id="220" w:name="_Toc506107281"/>
      <w:bookmarkStart w:id="221" w:name="_Toc247085701"/>
      <w:bookmarkStart w:id="222" w:name="_Toc4012"/>
      <w:bookmarkStart w:id="223" w:name="_Toc246996187"/>
      <w:bookmarkStart w:id="224" w:name="_Toc144974510"/>
      <w:bookmarkStart w:id="225" w:name="_Toc78803334"/>
      <w:bookmarkStart w:id="226" w:name="_Toc35424899"/>
      <w:r>
        <w:rPr>
          <w:rFonts w:hint="eastAsia" w:ascii="宋体" w:hAnsi="宋体" w:eastAsia="宋体" w:cs="宋体"/>
          <w:color w:val="auto"/>
          <w:highlight w:val="none"/>
        </w:rPr>
        <w:t xml:space="preserve">1.11 </w:t>
      </w:r>
      <w:bookmarkEnd w:id="206"/>
      <w:bookmarkEnd w:id="207"/>
      <w:bookmarkEnd w:id="208"/>
      <w:bookmarkEnd w:id="209"/>
      <w:r>
        <w:rPr>
          <w:rFonts w:hint="eastAsia" w:ascii="宋体" w:hAnsi="宋体" w:eastAsia="宋体" w:cs="宋体"/>
          <w:color w:val="auto"/>
          <w:highlight w:val="none"/>
        </w:rPr>
        <w:t>分包</w:t>
      </w:r>
      <w:bookmarkEnd w:id="210"/>
      <w:bookmarkEnd w:id="211"/>
      <w:bookmarkEnd w:id="212"/>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27" w:name="_Toc83301700"/>
      <w:bookmarkStart w:id="228" w:name="_Toc60061445"/>
      <w:bookmarkStart w:id="229" w:name="_Toc95223348"/>
      <w:r>
        <w:rPr>
          <w:rFonts w:hint="eastAsia" w:ascii="宋体" w:hAnsi="宋体" w:eastAsia="宋体" w:cs="宋体"/>
          <w:color w:val="auto"/>
          <w:highlight w:val="none"/>
        </w:rPr>
        <w:t>1.12 偏离</w:t>
      </w:r>
      <w:bookmarkEnd w:id="227"/>
      <w:bookmarkEnd w:id="228"/>
      <w:bookmarkEnd w:id="229"/>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0" w:name="_Toc78803335"/>
      <w:bookmarkStart w:id="231" w:name="_Toc13213"/>
      <w:bookmarkStart w:id="232" w:name="_Toc15058859"/>
      <w:bookmarkStart w:id="233" w:name="_Toc296602433"/>
      <w:bookmarkStart w:id="234" w:name="_Toc35425066"/>
      <w:bookmarkStart w:id="235" w:name="_Toc35424900"/>
      <w:bookmarkStart w:id="236" w:name="_Toc144974511"/>
      <w:bookmarkStart w:id="237" w:name="_Toc152042319"/>
      <w:bookmarkStart w:id="238" w:name="_Toc246996931"/>
      <w:bookmarkStart w:id="239" w:name="_Toc324404828"/>
      <w:bookmarkStart w:id="240" w:name="_Toc247085702"/>
      <w:bookmarkStart w:id="241" w:name="_Toc506107282"/>
      <w:bookmarkStart w:id="242" w:name="_Toc152045543"/>
      <w:bookmarkStart w:id="243" w:name="_Toc246996188"/>
      <w:bookmarkStart w:id="244" w:name="_Toc179632561"/>
      <w:r>
        <w:rPr>
          <w:rFonts w:hint="eastAsia" w:ascii="宋体" w:hAnsi="宋体" w:eastAsia="宋体" w:cs="宋体"/>
          <w:color w:val="auto"/>
          <w:highlight w:val="none"/>
        </w:rPr>
        <w:t>2.1 招标文件的组成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）投标文件格式；</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）投标人须知前附表规定的其他材料。</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45" w:name="_Toc152042320"/>
      <w:bookmarkStart w:id="246" w:name="_Toc246996932"/>
      <w:bookmarkStart w:id="247" w:name="_Toc324404829"/>
      <w:bookmarkStart w:id="248" w:name="_Toc246996189"/>
      <w:bookmarkStart w:id="249" w:name="_Toc35425067"/>
      <w:bookmarkStart w:id="250" w:name="_Toc144974512"/>
      <w:bookmarkStart w:id="251" w:name="_Toc15058860"/>
      <w:bookmarkStart w:id="252" w:name="_Toc32239"/>
      <w:bookmarkStart w:id="253" w:name="_Toc179632562"/>
      <w:bookmarkStart w:id="254" w:name="_Toc506107283"/>
      <w:bookmarkStart w:id="255" w:name="_Toc247085703"/>
      <w:bookmarkStart w:id="256" w:name="_Toc35424901"/>
      <w:bookmarkStart w:id="257" w:name="_Toc78803336"/>
      <w:bookmarkStart w:id="258" w:name="_Toc152045544"/>
      <w:bookmarkStart w:id="259" w:name="_Toc296602434"/>
      <w:r>
        <w:rPr>
          <w:rFonts w:hint="eastAsia" w:ascii="宋体" w:hAnsi="宋体" w:eastAsia="宋体" w:cs="宋体"/>
          <w:color w:val="auto"/>
          <w:highlight w:val="none"/>
        </w:rPr>
        <w:t>2.2 招标文件的</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宋体" w:hAnsi="宋体" w:eastAsia="宋体" w:cs="宋体"/>
          <w:color w:val="auto"/>
          <w:highlight w:val="none"/>
          <w:lang w:val="en-US" w:eastAsia="zh-CN"/>
        </w:rPr>
        <w:t>异议</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“滁州市兴滁矿业投资集团有限公司”（http://www.xckytz.com/）</w:t>
      </w:r>
      <w:r>
        <w:rPr>
          <w:rFonts w:hint="eastAsia" w:ascii="宋体" w:hAnsi="宋体" w:cs="宋体"/>
          <w:color w:val="auto"/>
          <w:szCs w:val="21"/>
          <w:highlight w:val="none"/>
        </w:rPr>
        <w:t xml:space="preserve">发布，但不指明澄清问题的来源。 </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0" w:name="_Toc247085704"/>
      <w:bookmarkStart w:id="261" w:name="_Toc152045545"/>
      <w:bookmarkStart w:id="262" w:name="_Toc152042321"/>
      <w:bookmarkStart w:id="263" w:name="_Toc15058861"/>
      <w:bookmarkStart w:id="264" w:name="_Toc246996190"/>
      <w:bookmarkStart w:id="265" w:name="_Toc78803337"/>
      <w:bookmarkStart w:id="266" w:name="_Toc296602435"/>
      <w:bookmarkStart w:id="267" w:name="_Toc35424902"/>
      <w:bookmarkStart w:id="268" w:name="_Toc24633"/>
      <w:bookmarkStart w:id="269" w:name="_Toc144974513"/>
      <w:bookmarkStart w:id="270" w:name="_Toc179632563"/>
      <w:bookmarkStart w:id="271" w:name="_Toc246996933"/>
      <w:bookmarkStart w:id="272" w:name="_Toc35425068"/>
      <w:bookmarkStart w:id="273" w:name="_Toc506107284"/>
      <w:bookmarkStart w:id="274" w:name="_Toc324404830"/>
      <w:r>
        <w:rPr>
          <w:rFonts w:hint="eastAsia" w:ascii="宋体" w:hAnsi="宋体" w:eastAsia="宋体" w:cs="宋体"/>
          <w:color w:val="auto"/>
          <w:highlight w:val="none"/>
        </w:rPr>
        <w:t>2.3 招标文件的</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宋体" w:hAnsi="宋体" w:eastAsia="宋体" w:cs="宋体"/>
          <w:color w:val="auto"/>
          <w:highlight w:val="none"/>
          <w:lang w:val="en-US" w:eastAsia="zh-CN"/>
        </w:rPr>
        <w:t>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pacing w:val="-11"/>
          <w:szCs w:val="21"/>
          <w:highlight w:val="none"/>
          <w:lang w:eastAsia="zh-CN"/>
        </w:rPr>
        <w:t>“滁州市兴滁矿业投资集团有限公司”（http://www.xckytz.com/）</w:t>
      </w:r>
      <w:r>
        <w:rPr>
          <w:rFonts w:hint="eastAsia"/>
          <w:color w:val="auto"/>
          <w:highlight w:val="none"/>
        </w:rPr>
        <w:t xml:space="preserve"> </w:t>
      </w:r>
      <w:r>
        <w:rPr>
          <w:rFonts w:hint="eastAsia" w:ascii="宋体" w:hAnsi="宋体" w:cs="宋体"/>
          <w:color w:val="auto"/>
          <w:szCs w:val="21"/>
          <w:highlight w:val="none"/>
        </w:rPr>
        <w:t>发布。但如果修改内容影响投标文件编制的，将相应延长投标截止时间。</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75" w:name="_Toc6464"/>
      <w:bookmarkStart w:id="276" w:name="_Toc152042322"/>
      <w:bookmarkStart w:id="277" w:name="_Toc15058863"/>
      <w:bookmarkStart w:id="278" w:name="_Toc78803339"/>
      <w:bookmarkStart w:id="279" w:name="_Toc144974514"/>
      <w:bookmarkStart w:id="280" w:name="_Toc35424904"/>
      <w:bookmarkStart w:id="281" w:name="_Toc246996934"/>
      <w:bookmarkStart w:id="282" w:name="_Toc324404832"/>
      <w:bookmarkStart w:id="283" w:name="_Toc246996191"/>
      <w:bookmarkStart w:id="284" w:name="_Toc247085705"/>
      <w:bookmarkStart w:id="285" w:name="_Toc35425070"/>
      <w:bookmarkStart w:id="286" w:name="_Toc179632564"/>
      <w:bookmarkStart w:id="287" w:name="_Toc506107285"/>
      <w:bookmarkStart w:id="288" w:name="_Toc152045546"/>
      <w:r>
        <w:rPr>
          <w:rFonts w:hint="eastAsia" w:ascii="宋体" w:hAnsi="宋体" w:eastAsia="宋体" w:cs="宋体"/>
          <w:color w:val="auto"/>
          <w:sz w:val="24"/>
          <w:szCs w:val="24"/>
          <w:highlight w:val="none"/>
        </w:rPr>
        <w:t>3. 投标文件</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89" w:name="_Toc246996192"/>
      <w:bookmarkStart w:id="290" w:name="_Toc35424905"/>
      <w:bookmarkStart w:id="291" w:name="_Toc296602437"/>
      <w:bookmarkStart w:id="292" w:name="_Toc179632565"/>
      <w:bookmarkStart w:id="293" w:name="_Toc246996935"/>
      <w:bookmarkStart w:id="294" w:name="_Toc15058864"/>
      <w:bookmarkStart w:id="295" w:name="_Toc78803340"/>
      <w:bookmarkStart w:id="296" w:name="_Toc35425071"/>
      <w:bookmarkStart w:id="297" w:name="_Toc247085706"/>
      <w:bookmarkStart w:id="298" w:name="_Toc152042323"/>
      <w:bookmarkStart w:id="299" w:name="_Toc157"/>
      <w:bookmarkStart w:id="300" w:name="_Toc324404833"/>
      <w:bookmarkStart w:id="301" w:name="_Toc144974515"/>
      <w:bookmarkStart w:id="302" w:name="_Toc152045547"/>
      <w:bookmarkStart w:id="303" w:name="_Toc506107286"/>
      <w:r>
        <w:rPr>
          <w:rFonts w:hint="eastAsia" w:ascii="宋体" w:hAnsi="宋体" w:eastAsia="宋体" w:cs="宋体"/>
          <w:color w:val="auto"/>
          <w:highlight w:val="none"/>
        </w:rPr>
        <w:t>3.1 投标文件的组成</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04" w:name="_Toc296602438"/>
      <w:bookmarkStart w:id="305" w:name="_Toc6829"/>
      <w:bookmarkStart w:id="306" w:name="_Toc247085707"/>
      <w:bookmarkStart w:id="307" w:name="_Toc78803341"/>
      <w:bookmarkStart w:id="308" w:name="_Toc152042324"/>
      <w:bookmarkStart w:id="309" w:name="_Toc179632566"/>
      <w:bookmarkStart w:id="310" w:name="_Toc246996936"/>
      <w:bookmarkStart w:id="311" w:name="_Toc506107287"/>
      <w:bookmarkStart w:id="312" w:name="_Toc144974516"/>
      <w:bookmarkStart w:id="313" w:name="_Toc246996193"/>
      <w:bookmarkStart w:id="314" w:name="_Toc152045548"/>
      <w:bookmarkStart w:id="315" w:name="_Toc15058865"/>
      <w:bookmarkStart w:id="316" w:name="_Toc324404834"/>
      <w:bookmarkStart w:id="317" w:name="_Toc35425072"/>
      <w:bookmarkStart w:id="318" w:name="_Toc35424906"/>
      <w:r>
        <w:rPr>
          <w:rFonts w:hint="eastAsia" w:ascii="宋体" w:hAnsi="宋体" w:eastAsia="宋体" w:cs="宋体"/>
          <w:color w:val="auto"/>
          <w:highlight w:val="none"/>
        </w:rPr>
        <w:t>3.2 投标报价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19" w:name="_Toc35425073"/>
      <w:bookmarkStart w:id="320" w:name="_Toc152045549"/>
      <w:bookmarkStart w:id="321" w:name="_Toc152042325"/>
      <w:bookmarkStart w:id="322" w:name="_Toc246996194"/>
      <w:bookmarkStart w:id="323" w:name="_Toc246996937"/>
      <w:bookmarkStart w:id="324" w:name="_Toc78803342"/>
      <w:bookmarkStart w:id="325" w:name="_Toc296602439"/>
      <w:bookmarkStart w:id="326" w:name="_Toc324404835"/>
      <w:bookmarkStart w:id="327" w:name="_Toc15058866"/>
      <w:bookmarkStart w:id="328" w:name="_Toc31735"/>
      <w:bookmarkStart w:id="329" w:name="_Toc506107288"/>
      <w:bookmarkStart w:id="330" w:name="_Toc35424907"/>
      <w:bookmarkStart w:id="331" w:name="_Toc179632567"/>
      <w:bookmarkStart w:id="332" w:name="_Toc247085708"/>
      <w:bookmarkStart w:id="333" w:name="_Toc144974517"/>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章“投标文件格式”的要求在投标函中进行报价并填写工程量清单相应表格。</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34" w:name="_Toc246996938"/>
      <w:bookmarkStart w:id="335" w:name="_Toc247085709"/>
      <w:bookmarkStart w:id="336" w:name="_Toc506107289"/>
      <w:bookmarkStart w:id="337" w:name="_Toc246996195"/>
      <w:bookmarkStart w:id="338" w:name="_Toc35425074"/>
      <w:bookmarkStart w:id="339" w:name="_Toc296602440"/>
      <w:bookmarkStart w:id="340" w:name="_Toc144974518"/>
      <w:bookmarkStart w:id="341" w:name="_Toc324404836"/>
      <w:bookmarkStart w:id="342" w:name="_Toc152045550"/>
      <w:bookmarkStart w:id="343" w:name="_Toc35424908"/>
      <w:bookmarkStart w:id="344" w:name="_Toc78803343"/>
      <w:bookmarkStart w:id="345" w:name="_Toc15058867"/>
      <w:bookmarkStart w:id="346" w:name="_Toc152042326"/>
      <w:bookmarkStart w:id="347" w:name="_Toc179632568"/>
      <w:bookmarkStart w:id="348" w:name="_Toc10714"/>
      <w:r>
        <w:rPr>
          <w:rFonts w:hint="eastAsia" w:ascii="宋体" w:hAnsi="宋体" w:eastAsia="宋体" w:cs="宋体"/>
          <w:color w:val="auto"/>
          <w:highlight w:val="none"/>
        </w:rPr>
        <w:t>3.4 投标保证金</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49" w:name="_Toc78803344"/>
      <w:bookmarkStart w:id="350" w:name="_Toc15058868"/>
      <w:bookmarkStart w:id="351" w:name="_Toc506107290"/>
      <w:bookmarkStart w:id="352" w:name="_Toc35425075"/>
      <w:bookmarkStart w:id="353" w:name="_Toc35424909"/>
      <w:bookmarkStart w:id="354" w:name="_Toc324404837"/>
      <w:bookmarkStart w:id="355" w:name="_Toc19037"/>
      <w:bookmarkStart w:id="356" w:name="_Toc296602442"/>
      <w:bookmarkStart w:id="357" w:name="_Toc152042329"/>
      <w:bookmarkStart w:id="358" w:name="_Toc179632571"/>
      <w:bookmarkStart w:id="359" w:name="_Toc247085711"/>
      <w:bookmarkStart w:id="360" w:name="_Toc246996940"/>
      <w:bookmarkStart w:id="361" w:name="_Toc152045553"/>
      <w:bookmarkStart w:id="362" w:name="_Toc246996197"/>
      <w:bookmarkStart w:id="363" w:name="_Toc144974521"/>
      <w:r>
        <w:rPr>
          <w:rFonts w:hint="eastAsia" w:ascii="宋体" w:hAnsi="宋体" w:eastAsia="宋体" w:cs="宋体"/>
          <w:color w:val="auto"/>
          <w:highlight w:val="none"/>
        </w:rPr>
        <w:t>3.5投标文件的编制</w:t>
      </w:r>
      <w:bookmarkEnd w:id="349"/>
      <w:bookmarkEnd w:id="350"/>
      <w:bookmarkEnd w:id="351"/>
      <w:bookmarkEnd w:id="352"/>
      <w:bookmarkEnd w:id="353"/>
      <w:bookmarkEnd w:id="354"/>
      <w:bookmarkEnd w:id="355"/>
      <w:bookmarkEnd w:id="356"/>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57"/>
    <w:bookmarkEnd w:id="358"/>
    <w:bookmarkEnd w:id="359"/>
    <w:bookmarkEnd w:id="360"/>
    <w:bookmarkEnd w:id="361"/>
    <w:bookmarkEnd w:id="362"/>
    <w:bookmarkEnd w:id="363"/>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64" w:name="_Toc324404838"/>
      <w:bookmarkStart w:id="365" w:name="_Toc152042331"/>
      <w:bookmarkStart w:id="366" w:name="_Toc246996199"/>
      <w:bookmarkStart w:id="367" w:name="_Toc144974523"/>
      <w:bookmarkStart w:id="368" w:name="_Toc247085713"/>
      <w:bookmarkStart w:id="369" w:name="_Toc179632573"/>
      <w:bookmarkStart w:id="370" w:name="_Toc246996942"/>
      <w:bookmarkStart w:id="371" w:name="_Toc152045555"/>
      <w:r>
        <w:rPr>
          <w:rFonts w:hint="eastAsia" w:ascii="宋体" w:hAnsi="宋体" w:eastAsia="宋体" w:cs="宋体"/>
          <w:color w:val="auto"/>
          <w:szCs w:val="21"/>
          <w:highlight w:val="none"/>
        </w:rPr>
        <w:t>3.5.2本次投标不需要提供纸质投标文件，投标人应按照</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的要求，制作、签章、</w:t>
      </w:r>
      <w:r>
        <w:rPr>
          <w:rFonts w:hint="eastAsia" w:ascii="宋体" w:hAnsi="宋体" w:eastAsia="宋体" w:cs="宋体"/>
          <w:color w:val="auto"/>
          <w:szCs w:val="21"/>
          <w:highlight w:val="none"/>
          <w:lang w:val="en-US" w:eastAsia="zh-CN"/>
        </w:rPr>
        <w:t>发送</w:t>
      </w:r>
      <w:r>
        <w:rPr>
          <w:rFonts w:hint="eastAsia" w:ascii="宋体" w:hAnsi="宋体" w:eastAsia="宋体" w:cs="宋体"/>
          <w:color w:val="auto"/>
          <w:szCs w:val="21"/>
          <w:highlight w:val="none"/>
        </w:rPr>
        <w:t>加密的电子投标文件。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投标文件的制作应满足以下规定：</w:t>
      </w:r>
    </w:p>
    <w:p>
      <w:pPr>
        <w:pageBreakBefore w:val="0"/>
        <w:widowControl w:val="0"/>
        <w:numPr>
          <w:ilvl w:val="0"/>
          <w:numId w:val="3"/>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招标文件中“签章”是指签字或盖章。在第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w:t>
      </w:r>
    </w:p>
    <w:p>
      <w:pPr>
        <w:pageBreakBefore w:val="0"/>
        <w:widowControl w:val="0"/>
        <w:numPr>
          <w:ilvl w:val="0"/>
          <w:numId w:val="3"/>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投标人应对投标文件进行加密，形成加密的投标文件。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因投标人自身原因而导致投标文件无法</w:t>
      </w:r>
      <w:r>
        <w:rPr>
          <w:rFonts w:hint="eastAsia" w:ascii="宋体" w:hAnsi="宋体" w:eastAsia="宋体" w:cs="宋体"/>
          <w:color w:val="auto"/>
          <w:szCs w:val="21"/>
          <w:highlight w:val="none"/>
          <w:lang w:val="en-US" w:eastAsia="zh-CN"/>
        </w:rPr>
        <w:t>打开、读取</w:t>
      </w:r>
      <w:r>
        <w:rPr>
          <w:rFonts w:hint="eastAsia" w:ascii="宋体" w:hAnsi="宋体" w:eastAsia="宋体" w:cs="宋体"/>
          <w:color w:val="auto"/>
          <w:szCs w:val="21"/>
          <w:highlight w:val="none"/>
        </w:rPr>
        <w:t>，该投标视为无效投标，投标人自行承担由此导致的全部责任。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color w:val="auto"/>
          <w:szCs w:val="21"/>
          <w:highlight w:val="none"/>
          <w:lang w:eastAsia="zh-CN"/>
        </w:rPr>
        <w:t>。</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2" w:name="_Toc506107291"/>
      <w:bookmarkStart w:id="373" w:name="_Toc35424910"/>
      <w:bookmarkStart w:id="374" w:name="_Toc15058869"/>
      <w:bookmarkStart w:id="375" w:name="_Toc19455"/>
      <w:bookmarkStart w:id="376" w:name="_Toc35425076"/>
      <w:bookmarkStart w:id="377" w:name="_Toc78803345"/>
      <w:r>
        <w:rPr>
          <w:rFonts w:hint="eastAsia" w:ascii="宋体" w:hAnsi="宋体" w:eastAsia="宋体" w:cs="宋体"/>
          <w:color w:val="auto"/>
          <w:sz w:val="24"/>
          <w:szCs w:val="24"/>
          <w:highlight w:val="none"/>
        </w:rPr>
        <w:t>4.投标</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pStyle w:val="4"/>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78" w:name="_Toc14473"/>
      <w:bookmarkStart w:id="379" w:name="_Toc35424911"/>
      <w:bookmarkStart w:id="380" w:name="_Toc15058870"/>
      <w:bookmarkStart w:id="381" w:name="_Toc78803346"/>
      <w:bookmarkStart w:id="382" w:name="_Toc35425077"/>
      <w:r>
        <w:rPr>
          <w:rFonts w:hint="eastAsia" w:ascii="宋体" w:hAnsi="宋体" w:eastAsia="宋体" w:cs="宋体"/>
          <w:color w:val="auto"/>
          <w:highlight w:val="none"/>
        </w:rPr>
        <w:t>4.1投标文件</w:t>
      </w:r>
      <w:bookmarkEnd w:id="378"/>
      <w:bookmarkEnd w:id="379"/>
      <w:bookmarkEnd w:id="380"/>
      <w:bookmarkEnd w:id="381"/>
      <w:bookmarkEnd w:id="382"/>
      <w:r>
        <w:rPr>
          <w:rFonts w:hint="eastAsia" w:ascii="宋体" w:hAnsi="宋体" w:eastAsia="宋体" w:cs="宋体"/>
          <w:color w:val="auto"/>
          <w:highlight w:val="none"/>
          <w:lang w:val="en-US" w:eastAsia="zh-CN"/>
        </w:rPr>
        <w:t>的提交</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4.1.1</w:t>
      </w:r>
      <w:r>
        <w:rPr>
          <w:rFonts w:hint="eastAsia" w:ascii="宋体" w:hAnsi="宋体" w:eastAsia="宋体" w:cs="宋体"/>
          <w:color w:val="auto"/>
          <w:szCs w:val="21"/>
          <w:highlight w:val="none"/>
          <w:lang w:val="en-US" w:eastAsia="zh-CN"/>
        </w:rPr>
        <w:t>各投标人须在投标文件截止时间前（202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前）将投标文件以电子邮件的方式一次性发送至czsctgczx@163.com（滁州市城投工程咨询管理有限公司邮箱），投标文件格式限定为加密PDF格式，将文件命名为“投标单位名称+项目名称+联系人及联系电话”，未在规定时间内发送加密PDF格式投标文件，投标将被拒绝，投标文件送达时间以滁州市城投工程咨询管理有限公司邮箱显示的邮件送达时间为准，若投标人重复发送电子投标文件的，将以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lang w:val="en-US" w:eastAsia="zh-CN"/>
        </w:rPr>
        <w:fldChar w:fldCharType="end"/>
      </w:r>
      <w:r>
        <w:rPr>
          <w:rFonts w:hint="eastAsia" w:ascii="宋体" w:hAnsi="宋体" w:cs="宋体"/>
          <w:color w:val="auto"/>
          <w:szCs w:val="21"/>
          <w:highlight w:val="none"/>
          <w:lang w:val="en-US" w:eastAsia="zh-CN"/>
        </w:rPr>
        <w:t>5月7日9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0分前最后收到的投标文件为准,投标文件无法打开的，由投标人自行承担后果。</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4.1.2各投标人在202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5月7日9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0分至202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"mailto:时30分内将投标文件的密码（投标单位名称+密码）发送至czsctgczx@163.com（滁州市城投工程咨询管理有限公司邮箱）。未在规定时间内发送密码的，投标将被拒绝。"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0分内将投标文件的密码（投标单位名称+密码）发送至czsctgczx@163.com（滁州市城投工程咨询管理有限公司邮箱）。未在规定时间内发送密码的，投标将被拒绝。</w:t>
      </w:r>
      <w:r>
        <w:rPr>
          <w:rFonts w:hint="eastAsia" w:ascii="宋体" w:hAnsi="宋体" w:eastAsia="宋体" w:cs="宋体"/>
          <w:color w:val="auto"/>
          <w:szCs w:val="21"/>
          <w:highlight w:val="none"/>
          <w:lang w:val="en-US" w:eastAsia="zh-CN"/>
        </w:rPr>
        <w:fldChar w:fldCharType="end"/>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3" w:name="_Toc246996945"/>
      <w:bookmarkStart w:id="384" w:name="_Toc152045558"/>
      <w:bookmarkStart w:id="385" w:name="_Toc324404841"/>
      <w:bookmarkStart w:id="386" w:name="_Toc247085716"/>
      <w:bookmarkStart w:id="387" w:name="_Toc144974526"/>
      <w:bookmarkStart w:id="388" w:name="_Toc35425080"/>
      <w:bookmarkStart w:id="389" w:name="_Toc35424914"/>
      <w:bookmarkStart w:id="390" w:name="_Toc506107294"/>
      <w:bookmarkStart w:id="391" w:name="_Toc179632576"/>
      <w:bookmarkStart w:id="392" w:name="_Toc296602446"/>
      <w:bookmarkStart w:id="393" w:name="_Toc19572"/>
      <w:bookmarkStart w:id="394" w:name="_Toc246996202"/>
      <w:bookmarkStart w:id="395" w:name="_Toc15058873"/>
      <w:bookmarkStart w:id="396" w:name="_Toc78803347"/>
      <w:bookmarkStart w:id="397" w:name="_Toc152042334"/>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w:t>
      </w:r>
      <w:r>
        <w:rPr>
          <w:rFonts w:hint="eastAsia" w:ascii="宋体" w:hAnsi="宋体" w:cs="宋体"/>
          <w:b/>
          <w:color w:val="auto"/>
          <w:szCs w:val="21"/>
          <w:highlight w:val="none"/>
          <w:lang w:val="en-US" w:eastAsia="zh-CN"/>
        </w:rPr>
        <w:t>邮箱</w:t>
      </w:r>
      <w:r>
        <w:rPr>
          <w:rFonts w:hint="eastAsia" w:ascii="宋体" w:hAnsi="宋体" w:cs="宋体"/>
          <w:b/>
          <w:color w:val="auto"/>
          <w:szCs w:val="21"/>
          <w:highlight w:val="none"/>
        </w:rPr>
        <w:t>撤回已递交的投标文件，并可修改后重新上传，开标时以投标截止时间前投标人最终上传的投标文件为准。</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98" w:name="_Toc144974527"/>
      <w:bookmarkStart w:id="399" w:name="_Toc78803348"/>
      <w:bookmarkStart w:id="400" w:name="_Toc179632577"/>
      <w:bookmarkStart w:id="401" w:name="_Toc506107295"/>
      <w:bookmarkStart w:id="402" w:name="_Toc324404842"/>
      <w:bookmarkStart w:id="403" w:name="_Toc246996946"/>
      <w:bookmarkStart w:id="404" w:name="_Toc152042335"/>
      <w:bookmarkStart w:id="405" w:name="_Toc15058874"/>
      <w:bookmarkStart w:id="406" w:name="_Toc246996203"/>
      <w:bookmarkStart w:id="407" w:name="_Toc35425081"/>
      <w:bookmarkStart w:id="408" w:name="_Toc152045559"/>
      <w:bookmarkStart w:id="409" w:name="_Toc247085717"/>
      <w:bookmarkStart w:id="410" w:name="_Toc29639"/>
      <w:bookmarkStart w:id="411" w:name="_Toc35424915"/>
      <w:r>
        <w:rPr>
          <w:rFonts w:hint="eastAsia" w:ascii="宋体" w:hAnsi="宋体" w:eastAsia="宋体" w:cs="宋体"/>
          <w:color w:val="auto"/>
          <w:sz w:val="24"/>
          <w:szCs w:val="24"/>
          <w:highlight w:val="none"/>
        </w:rPr>
        <w:t>5. 开标</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2" w:name="_Toc35424916"/>
      <w:bookmarkStart w:id="413" w:name="_Toc35425082"/>
      <w:bookmarkStart w:id="414" w:name="_Toc247085718"/>
      <w:bookmarkStart w:id="415" w:name="_Toc15058875"/>
      <w:bookmarkStart w:id="416" w:name="_Toc179632578"/>
      <w:bookmarkStart w:id="417" w:name="_Toc246996947"/>
      <w:bookmarkStart w:id="418" w:name="_Toc296602448"/>
      <w:bookmarkStart w:id="419" w:name="_Toc13691"/>
      <w:bookmarkStart w:id="420" w:name="_Toc152045560"/>
      <w:bookmarkStart w:id="421" w:name="_Toc144974528"/>
      <w:bookmarkStart w:id="422" w:name="_Toc506107296"/>
      <w:bookmarkStart w:id="423" w:name="_Toc152042336"/>
      <w:bookmarkStart w:id="424" w:name="_Toc78803349"/>
      <w:bookmarkStart w:id="425" w:name="_Toc324404843"/>
      <w:bookmarkStart w:id="426" w:name="_Toc246996204"/>
      <w:r>
        <w:rPr>
          <w:rFonts w:hint="eastAsia" w:ascii="宋体" w:hAnsi="宋体" w:eastAsia="宋体" w:cs="宋体"/>
          <w:color w:val="auto"/>
          <w:highlight w:val="none"/>
        </w:rPr>
        <w:t>5.1 开标时间和地点</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7" w:name="_Toc247085719"/>
      <w:bookmarkStart w:id="428" w:name="_Toc152042337"/>
      <w:bookmarkStart w:id="429" w:name="_Toc246996948"/>
      <w:bookmarkStart w:id="430" w:name="_Toc35424917"/>
      <w:bookmarkStart w:id="431" w:name="_Toc15058876"/>
      <w:bookmarkStart w:id="432" w:name="_Toc78803350"/>
      <w:bookmarkStart w:id="433" w:name="_Toc246996205"/>
      <w:bookmarkStart w:id="434" w:name="_Toc144974529"/>
      <w:bookmarkStart w:id="435" w:name="_Toc179632579"/>
      <w:bookmarkStart w:id="436" w:name="_Toc296602449"/>
      <w:bookmarkStart w:id="437" w:name="_Toc152045561"/>
      <w:bookmarkStart w:id="438" w:name="_Toc324404844"/>
      <w:bookmarkStart w:id="439" w:name="_Toc35425083"/>
      <w:bookmarkStart w:id="440" w:name="_Toc32451"/>
      <w:bookmarkStart w:id="441" w:name="_Toc506107297"/>
      <w:r>
        <w:rPr>
          <w:rFonts w:hint="eastAsia" w:ascii="宋体" w:hAnsi="宋体" w:eastAsia="宋体" w:cs="宋体"/>
          <w:color w:val="auto"/>
          <w:highlight w:val="none"/>
        </w:rPr>
        <w:t>5.2 开标程序</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2" w:name="_Toc296602450"/>
      <w:bookmarkStart w:id="443" w:name="_Toc324404845"/>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4" w:name="_Toc15058877"/>
      <w:bookmarkStart w:id="445" w:name="_Toc506107298"/>
      <w:r>
        <w:rPr>
          <w:rFonts w:hint="eastAsia" w:ascii="宋体" w:hAnsi="宋体" w:cs="宋体"/>
          <w:color w:val="auto"/>
          <w:szCs w:val="21"/>
          <w:highlight w:val="none"/>
        </w:rPr>
        <w:t>（1）宣布开标纪律；</w:t>
      </w:r>
      <w:bookmarkEnd w:id="444"/>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6" w:name="_Toc15058878"/>
      <w:r>
        <w:rPr>
          <w:rFonts w:hint="eastAsia" w:ascii="宋体" w:hAnsi="宋体" w:cs="宋体"/>
          <w:color w:val="auto"/>
          <w:szCs w:val="21"/>
          <w:highlight w:val="none"/>
        </w:rPr>
        <w:t>（2）宣布招标人、代理机构主持人等有关人员姓名；</w:t>
      </w:r>
      <w:bookmarkEnd w:id="446"/>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7" w:name="_Toc15058881"/>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）公布投标人投标报价、质量目标、工期及其他内容，并记录在案；</w:t>
      </w:r>
      <w:bookmarkEnd w:id="44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8" w:name="_Toc15058882"/>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）开标结束。</w:t>
      </w:r>
      <w:bookmarkEnd w:id="448"/>
    </w:p>
    <w:bookmarkEnd w:id="442"/>
    <w:bookmarkEnd w:id="443"/>
    <w:bookmarkEnd w:id="445"/>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49" w:name="_Toc20689"/>
      <w:bookmarkStart w:id="450" w:name="_Toc179632580"/>
      <w:bookmarkStart w:id="451" w:name="_Toc246996206"/>
      <w:bookmarkStart w:id="452" w:name="_Toc152042338"/>
      <w:bookmarkStart w:id="453" w:name="_Toc35424919"/>
      <w:bookmarkStart w:id="454" w:name="_Toc324404846"/>
      <w:bookmarkStart w:id="455" w:name="_Toc78803352"/>
      <w:bookmarkStart w:id="456" w:name="_Toc247085720"/>
      <w:bookmarkStart w:id="457" w:name="_Toc144974530"/>
      <w:bookmarkStart w:id="458" w:name="_Toc35425085"/>
      <w:bookmarkStart w:id="459" w:name="_Toc15058884"/>
      <w:bookmarkStart w:id="460" w:name="_Toc506107299"/>
      <w:bookmarkStart w:id="461" w:name="_Toc152045562"/>
      <w:bookmarkStart w:id="462" w:name="_Toc246996949"/>
      <w:r>
        <w:rPr>
          <w:rFonts w:hint="eastAsia" w:ascii="宋体" w:hAnsi="宋体" w:eastAsia="宋体" w:cs="宋体"/>
          <w:color w:val="auto"/>
          <w:sz w:val="24"/>
          <w:szCs w:val="24"/>
          <w:highlight w:val="none"/>
        </w:rPr>
        <w:t>6. 评标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3" w:name="_Toc296602452"/>
      <w:bookmarkStart w:id="464" w:name="_Toc152042339"/>
      <w:bookmarkStart w:id="465" w:name="_Toc179632581"/>
      <w:bookmarkStart w:id="466" w:name="_Toc78803353"/>
      <w:bookmarkStart w:id="467" w:name="_Toc35425086"/>
      <w:bookmarkStart w:id="468" w:name="_Toc152045563"/>
      <w:bookmarkStart w:id="469" w:name="_Toc246996950"/>
      <w:bookmarkStart w:id="470" w:name="_Toc247085721"/>
      <w:bookmarkStart w:id="471" w:name="_Toc35424920"/>
      <w:bookmarkStart w:id="472" w:name="_Toc246996207"/>
      <w:bookmarkStart w:id="473" w:name="_Toc15058885"/>
      <w:bookmarkStart w:id="474" w:name="_Toc144974531"/>
      <w:bookmarkStart w:id="475" w:name="_Toc506107300"/>
      <w:bookmarkStart w:id="476" w:name="_Toc14249"/>
      <w:bookmarkStart w:id="477" w:name="_Toc324404847"/>
      <w:r>
        <w:rPr>
          <w:rFonts w:hint="eastAsia" w:ascii="宋体" w:hAnsi="宋体" w:eastAsia="宋体" w:cs="宋体"/>
          <w:color w:val="auto"/>
          <w:highlight w:val="none"/>
        </w:rPr>
        <w:t>6.1 评标委员会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（3）与投标人有经济利益关系；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（5）与投标人有其他利害关系。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78" w:name="_Toc179632582"/>
      <w:bookmarkStart w:id="479" w:name="_Toc35425087"/>
      <w:bookmarkStart w:id="480" w:name="_Toc144974532"/>
      <w:bookmarkStart w:id="481" w:name="_Toc324404848"/>
      <w:bookmarkStart w:id="482" w:name="_Toc247085722"/>
      <w:bookmarkStart w:id="483" w:name="_Toc15058886"/>
      <w:bookmarkStart w:id="484" w:name="_Toc12948"/>
      <w:bookmarkStart w:id="485" w:name="_Toc152042340"/>
      <w:bookmarkStart w:id="486" w:name="_Toc246996951"/>
      <w:bookmarkStart w:id="487" w:name="_Toc35424921"/>
      <w:bookmarkStart w:id="488" w:name="_Toc506107301"/>
      <w:bookmarkStart w:id="489" w:name="_Toc296602453"/>
      <w:bookmarkStart w:id="490" w:name="_Toc78803354"/>
      <w:bookmarkStart w:id="491" w:name="_Toc246996208"/>
      <w:bookmarkStart w:id="492" w:name="_Toc152045564"/>
      <w:r>
        <w:rPr>
          <w:rFonts w:hint="eastAsia" w:ascii="宋体" w:hAnsi="宋体" w:eastAsia="宋体" w:cs="宋体"/>
          <w:color w:val="auto"/>
          <w:highlight w:val="none"/>
        </w:rPr>
        <w:t>6.2 评标原则</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3" w:name="_Toc35424922"/>
      <w:bookmarkStart w:id="494" w:name="_Toc246996209"/>
      <w:bookmarkStart w:id="495" w:name="_Toc35425088"/>
      <w:bookmarkStart w:id="496" w:name="_Toc144974533"/>
      <w:bookmarkStart w:id="497" w:name="_Toc152042341"/>
      <w:bookmarkStart w:id="498" w:name="_Toc296602454"/>
      <w:bookmarkStart w:id="499" w:name="_Toc14892"/>
      <w:bookmarkStart w:id="500" w:name="_Toc179632583"/>
      <w:bookmarkStart w:id="501" w:name="_Toc152045565"/>
      <w:bookmarkStart w:id="502" w:name="_Toc246996952"/>
      <w:bookmarkStart w:id="503" w:name="_Toc78803355"/>
      <w:bookmarkStart w:id="504" w:name="_Toc506107302"/>
      <w:bookmarkStart w:id="505" w:name="_Toc247085723"/>
      <w:bookmarkStart w:id="506" w:name="_Toc15058887"/>
      <w:bookmarkStart w:id="507" w:name="_Toc324404849"/>
      <w:r>
        <w:rPr>
          <w:rFonts w:hint="eastAsia" w:ascii="宋体" w:hAnsi="宋体" w:eastAsia="宋体" w:cs="宋体"/>
          <w:color w:val="auto"/>
          <w:highlight w:val="none"/>
        </w:rPr>
        <w:t>6.3 评标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08" w:name="_Toc324404850"/>
      <w:bookmarkStart w:id="509" w:name="_Toc246996953"/>
      <w:bookmarkStart w:id="510" w:name="_Toc152045566"/>
      <w:bookmarkStart w:id="511" w:name="_Toc152042342"/>
      <w:bookmarkStart w:id="512" w:name="_Toc246996210"/>
      <w:bookmarkStart w:id="513" w:name="_Toc144974534"/>
      <w:bookmarkStart w:id="514" w:name="_Toc247085724"/>
      <w:bookmarkStart w:id="515" w:name="_Toc17963258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16" w:name="_Toc35424923"/>
      <w:bookmarkStart w:id="517" w:name="_Toc26182"/>
      <w:bookmarkStart w:id="518" w:name="_Toc35425089"/>
      <w:bookmarkStart w:id="519" w:name="_Toc78803356"/>
      <w:bookmarkStart w:id="520" w:name="_Toc15058888"/>
      <w:bookmarkStart w:id="521" w:name="_Toc506107303"/>
      <w:r>
        <w:rPr>
          <w:rFonts w:hint="eastAsia" w:ascii="宋体" w:hAnsi="宋体" w:eastAsia="宋体" w:cs="宋体"/>
          <w:color w:val="auto"/>
          <w:sz w:val="24"/>
          <w:szCs w:val="24"/>
          <w:highlight w:val="none"/>
        </w:rPr>
        <w:t>7. 合同授予</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2" w:name="_Toc95223374"/>
      <w:bookmarkStart w:id="523" w:name="_Toc15058890"/>
      <w:bookmarkStart w:id="524" w:name="_Toc506107305"/>
      <w:bookmarkStart w:id="525" w:name="_Toc296602457"/>
      <w:bookmarkStart w:id="526" w:name="_Toc60061472"/>
      <w:bookmarkStart w:id="527" w:name="_Toc324404852"/>
      <w:bookmarkStart w:id="528" w:name="_Toc83301726"/>
      <w:bookmarkStart w:id="529" w:name="_Toc4204"/>
      <w:bookmarkStart w:id="530" w:name="_Toc246996212"/>
      <w:bookmarkStart w:id="531" w:name="_Toc15058891"/>
      <w:bookmarkStart w:id="532" w:name="_Toc296602458"/>
      <w:bookmarkStart w:id="533" w:name="_Toc246996955"/>
      <w:bookmarkStart w:id="534" w:name="_Toc35425093"/>
      <w:bookmarkStart w:id="535" w:name="_Toc324404853"/>
      <w:bookmarkStart w:id="536" w:name="_Toc247085726"/>
      <w:bookmarkStart w:id="537" w:name="_Toc14692"/>
      <w:bookmarkStart w:id="538" w:name="_Toc152045568"/>
      <w:bookmarkStart w:id="539" w:name="_Toc506107306"/>
      <w:bookmarkStart w:id="540" w:name="_Toc144974536"/>
      <w:bookmarkStart w:id="541" w:name="_Toc179632586"/>
      <w:bookmarkStart w:id="542" w:name="_Toc78803360"/>
      <w:bookmarkStart w:id="543" w:name="_Toc152042344"/>
      <w:bookmarkStart w:id="544" w:name="_Toc35424927"/>
      <w:r>
        <w:rPr>
          <w:rFonts w:hint="eastAsia" w:ascii="宋体" w:hAnsi="宋体" w:eastAsia="宋体" w:cs="宋体"/>
          <w:color w:val="auto"/>
          <w:highlight w:val="none"/>
        </w:rPr>
        <w:t>7.1 中标候选人公示</w:t>
      </w:r>
      <w:bookmarkEnd w:id="522"/>
      <w:bookmarkEnd w:id="523"/>
      <w:bookmarkEnd w:id="524"/>
      <w:bookmarkEnd w:id="525"/>
      <w:bookmarkEnd w:id="526"/>
      <w:bookmarkEnd w:id="527"/>
      <w:bookmarkEnd w:id="52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29"/>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45" w:name="_Toc95223375"/>
      <w:bookmarkStart w:id="546" w:name="_Toc83301727"/>
      <w:bookmarkStart w:id="547" w:name="_Toc60061474"/>
      <w:bookmarkStart w:id="548" w:name="_Toc35425096"/>
      <w:bookmarkStart w:id="549" w:name="_Toc179632588"/>
      <w:bookmarkStart w:id="550" w:name="_Toc296602460"/>
      <w:bookmarkStart w:id="551" w:name="_Toc246996214"/>
      <w:bookmarkStart w:id="552" w:name="_Toc11010"/>
      <w:bookmarkStart w:id="553" w:name="_Toc78803363"/>
      <w:bookmarkStart w:id="554" w:name="_Toc144974538"/>
      <w:bookmarkStart w:id="555" w:name="_Toc324404855"/>
      <w:bookmarkStart w:id="556" w:name="_Toc35424930"/>
      <w:bookmarkStart w:id="557" w:name="_Toc247085728"/>
      <w:bookmarkStart w:id="558" w:name="_Toc506107308"/>
      <w:bookmarkStart w:id="559" w:name="_Toc152045570"/>
      <w:bookmarkStart w:id="560" w:name="_Toc15058893"/>
      <w:bookmarkStart w:id="561" w:name="_Toc152042346"/>
      <w:bookmarkStart w:id="562" w:name="_Toc24699695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45"/>
      <w:bookmarkEnd w:id="546"/>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3" w:name="_Toc95223376"/>
      <w:bookmarkStart w:id="564"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47"/>
      <w:bookmarkEnd w:id="563"/>
      <w:bookmarkEnd w:id="564"/>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5"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65"/>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6" w:name="_Toc246996956"/>
      <w:bookmarkStart w:id="567" w:name="_Toc324404854"/>
      <w:bookmarkStart w:id="568" w:name="_Toc15058892"/>
      <w:bookmarkStart w:id="569" w:name="_Toc144974537"/>
      <w:bookmarkStart w:id="570" w:name="_Toc152042345"/>
      <w:bookmarkStart w:id="571" w:name="_Toc296602459"/>
      <w:bookmarkStart w:id="572" w:name="_Toc83301730"/>
      <w:bookmarkStart w:id="573" w:name="_Toc60061476"/>
      <w:bookmarkStart w:id="574" w:name="_Toc247085727"/>
      <w:bookmarkStart w:id="575" w:name="_Toc246996213"/>
      <w:bookmarkStart w:id="576" w:name="_Toc506107307"/>
      <w:bookmarkStart w:id="577" w:name="_Toc179632587"/>
      <w:bookmarkStart w:id="578" w:name="_Toc152045569"/>
      <w:bookmarkStart w:id="579" w:name="_Toc95223378"/>
      <w:r>
        <w:rPr>
          <w:rFonts w:hint="eastAsia" w:ascii="宋体" w:hAnsi="宋体" w:eastAsia="宋体" w:cs="宋体"/>
          <w:color w:val="auto"/>
          <w:highlight w:val="none"/>
        </w:rPr>
        <w:t>7.8 履约担保</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0" w:name="_Toc60061477"/>
      <w:bookmarkStart w:id="581" w:name="_Toc95223379"/>
      <w:bookmarkStart w:id="582" w:name="_Toc83301731"/>
      <w:r>
        <w:rPr>
          <w:rFonts w:hint="eastAsia" w:ascii="宋体" w:hAnsi="宋体" w:eastAsia="宋体" w:cs="宋体"/>
          <w:color w:val="auto"/>
          <w:highlight w:val="none"/>
        </w:rPr>
        <w:t>7.9 签订合同</w:t>
      </w:r>
      <w:bookmarkEnd w:id="580"/>
      <w:bookmarkEnd w:id="581"/>
      <w:bookmarkEnd w:id="582"/>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3" w:name="_Toc95223381"/>
      <w:bookmarkStart w:id="584" w:name="_Toc179632589"/>
      <w:bookmarkStart w:id="585" w:name="_Toc144974539"/>
      <w:bookmarkStart w:id="586" w:name="_Toc60061478"/>
      <w:bookmarkStart w:id="587" w:name="_Toc83301732"/>
      <w:bookmarkStart w:id="588" w:name="_Toc152045571"/>
      <w:bookmarkStart w:id="589" w:name="_Toc152042347"/>
      <w:bookmarkStart w:id="590" w:name="_Toc26974"/>
      <w:bookmarkStart w:id="591" w:name="_Toc31686"/>
      <w:bookmarkStart w:id="592" w:name="_Toc25375"/>
      <w:bookmarkStart w:id="593" w:name="_Toc35424931"/>
      <w:bookmarkStart w:id="594" w:name="_Toc35425097"/>
      <w:bookmarkStart w:id="595" w:name="_Toc78803367"/>
      <w:bookmarkStart w:id="596" w:name="_Toc324404864"/>
      <w:bookmarkStart w:id="597" w:name="_Toc15058902"/>
      <w:bookmarkStart w:id="598" w:name="_Toc506107317"/>
      <w:bookmarkStart w:id="599" w:name="_Toc35425105"/>
      <w:bookmarkStart w:id="600" w:name="_Toc35424939"/>
      <w:bookmarkStart w:id="601" w:name="_Toc296602475"/>
      <w:r>
        <w:rPr>
          <w:rFonts w:hint="eastAsia" w:ascii="宋体" w:hAnsi="宋体" w:eastAsia="宋体" w:cs="宋体"/>
          <w:color w:val="auto"/>
          <w:highlight w:val="none"/>
        </w:rPr>
        <w:t>8. 重新招标和不再招标</w:t>
      </w:r>
      <w:bookmarkEnd w:id="583"/>
      <w:bookmarkEnd w:id="584"/>
      <w:bookmarkEnd w:id="585"/>
      <w:bookmarkEnd w:id="586"/>
      <w:bookmarkEnd w:id="587"/>
      <w:bookmarkEnd w:id="588"/>
      <w:bookmarkEnd w:id="589"/>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2" w:name="_Toc179632590"/>
      <w:bookmarkStart w:id="603" w:name="_Toc95223382"/>
      <w:bookmarkStart w:id="604" w:name="_Toc83301733"/>
      <w:bookmarkStart w:id="605" w:name="_Toc152045572"/>
      <w:bookmarkStart w:id="606" w:name="_Toc144974540"/>
      <w:bookmarkStart w:id="607" w:name="_Toc152042348"/>
      <w:bookmarkStart w:id="608" w:name="_Toc60061479"/>
      <w:r>
        <w:rPr>
          <w:rFonts w:hint="eastAsia" w:ascii="宋体" w:hAnsi="宋体" w:eastAsia="宋体" w:cs="宋体"/>
          <w:color w:val="auto"/>
          <w:highlight w:val="none"/>
        </w:rPr>
        <w:t>8.1 重新招标</w:t>
      </w:r>
      <w:bookmarkEnd w:id="602"/>
      <w:bookmarkEnd w:id="603"/>
      <w:bookmarkEnd w:id="604"/>
      <w:bookmarkEnd w:id="605"/>
      <w:bookmarkEnd w:id="606"/>
      <w:bookmarkEnd w:id="607"/>
      <w:bookmarkEnd w:id="60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9" w:name="_Toc152045573"/>
      <w:bookmarkStart w:id="610" w:name="_Toc152042349"/>
      <w:bookmarkStart w:id="611" w:name="_Toc95223383"/>
      <w:bookmarkStart w:id="612" w:name="_Toc60061480"/>
      <w:bookmarkStart w:id="613" w:name="_Toc83301734"/>
      <w:bookmarkStart w:id="614" w:name="_Toc144974541"/>
      <w:bookmarkStart w:id="615" w:name="_Toc179632591"/>
      <w:r>
        <w:rPr>
          <w:rFonts w:hint="eastAsia" w:ascii="宋体" w:hAnsi="宋体" w:eastAsia="宋体" w:cs="宋体"/>
          <w:color w:val="auto"/>
          <w:highlight w:val="none"/>
        </w:rPr>
        <w:t>8.2 不再招标</w:t>
      </w:r>
      <w:bookmarkEnd w:id="609"/>
      <w:bookmarkEnd w:id="610"/>
      <w:bookmarkEnd w:id="611"/>
      <w:bookmarkEnd w:id="612"/>
      <w:bookmarkEnd w:id="613"/>
      <w:bookmarkEnd w:id="614"/>
      <w:bookmarkEnd w:id="615"/>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0"/>
      <w:bookmarkEnd w:id="591"/>
      <w:bookmarkEnd w:id="592"/>
      <w:bookmarkEnd w:id="593"/>
      <w:bookmarkEnd w:id="594"/>
      <w:bookmarkEnd w:id="595"/>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16" w:name="_Toc35425098"/>
      <w:bookmarkStart w:id="617" w:name="_Toc247085733"/>
      <w:bookmarkStart w:id="618" w:name="_Toc152045575"/>
      <w:bookmarkStart w:id="619" w:name="_Toc246996219"/>
      <w:bookmarkStart w:id="620" w:name="_Toc152042351"/>
      <w:bookmarkStart w:id="621" w:name="_Toc506107310"/>
      <w:bookmarkStart w:id="622" w:name="_Toc296602462"/>
      <w:bookmarkStart w:id="623" w:name="_Toc15607"/>
      <w:bookmarkStart w:id="624" w:name="_Toc15058895"/>
      <w:bookmarkStart w:id="625" w:name="_Toc35424932"/>
      <w:bookmarkStart w:id="626" w:name="_Toc144974543"/>
      <w:bookmarkStart w:id="627" w:name="_Toc324404857"/>
      <w:bookmarkStart w:id="628" w:name="_Toc179632593"/>
      <w:bookmarkStart w:id="629" w:name="_Toc296590983"/>
      <w:bookmarkStart w:id="630" w:name="_Toc246996962"/>
      <w:bookmarkStart w:id="631" w:name="_Toc78803368"/>
      <w:bookmarkStart w:id="632" w:name="_Toc2855"/>
      <w:r>
        <w:rPr>
          <w:rFonts w:hint="eastAsia" w:ascii="宋体" w:hAnsi="宋体" w:eastAsia="宋体" w:cs="宋体"/>
          <w:color w:val="auto"/>
          <w:highlight w:val="none"/>
        </w:rPr>
        <w:t>9.1 对招标人的纪律要求</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3" w:name="_Toc35425099"/>
      <w:bookmarkStart w:id="634" w:name="_Toc246996220"/>
      <w:bookmarkStart w:id="635" w:name="_Toc246996963"/>
      <w:bookmarkStart w:id="636" w:name="_Toc506107311"/>
      <w:bookmarkStart w:id="637" w:name="_Toc35424933"/>
      <w:bookmarkStart w:id="638" w:name="_Toc19779"/>
      <w:bookmarkStart w:id="639" w:name="_Toc247085734"/>
      <w:bookmarkStart w:id="640" w:name="_Toc32177"/>
      <w:bookmarkStart w:id="641" w:name="_Toc324404858"/>
      <w:bookmarkStart w:id="642" w:name="_Toc152045576"/>
      <w:bookmarkStart w:id="643" w:name="_Toc152042352"/>
      <w:bookmarkStart w:id="644" w:name="_Toc78803369"/>
      <w:bookmarkStart w:id="645" w:name="_Toc296602463"/>
      <w:bookmarkStart w:id="646" w:name="_Toc144974544"/>
      <w:bookmarkStart w:id="647" w:name="_Toc15058896"/>
      <w:bookmarkStart w:id="648" w:name="_Toc179632594"/>
      <w:r>
        <w:rPr>
          <w:rFonts w:hint="eastAsia" w:ascii="宋体" w:hAnsi="宋体" w:eastAsia="宋体" w:cs="宋体"/>
          <w:color w:val="auto"/>
          <w:highlight w:val="none"/>
        </w:rPr>
        <w:t>9.2 对投标人的纪律要求</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49" w:name="_Toc247085735"/>
      <w:bookmarkStart w:id="650" w:name="_Toc13043"/>
      <w:bookmarkStart w:id="651" w:name="_Toc12564"/>
      <w:bookmarkStart w:id="652" w:name="_Toc15058897"/>
      <w:bookmarkStart w:id="653" w:name="_Toc144974545"/>
      <w:bookmarkStart w:id="654" w:name="_Toc246996964"/>
      <w:bookmarkStart w:id="655" w:name="_Toc152045577"/>
      <w:bookmarkStart w:id="656" w:name="_Toc35424934"/>
      <w:bookmarkStart w:id="657" w:name="_Toc324404859"/>
      <w:bookmarkStart w:id="658" w:name="_Toc179632595"/>
      <w:bookmarkStart w:id="659" w:name="_Toc35425100"/>
      <w:bookmarkStart w:id="660" w:name="_Toc506107312"/>
      <w:bookmarkStart w:id="661" w:name="_Toc246996221"/>
      <w:bookmarkStart w:id="662" w:name="_Toc78803370"/>
      <w:bookmarkStart w:id="663" w:name="_Toc296602464"/>
      <w:bookmarkStart w:id="664" w:name="_Toc152042353"/>
      <w:r>
        <w:rPr>
          <w:rFonts w:hint="eastAsia" w:ascii="宋体" w:hAnsi="宋体" w:eastAsia="宋体" w:cs="宋体"/>
          <w:color w:val="auto"/>
          <w:highlight w:val="none"/>
        </w:rPr>
        <w:t>9.3 对评标委员会成员的纪律要求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65" w:name="_Toc35424935"/>
      <w:bookmarkStart w:id="666" w:name="_Toc32214"/>
      <w:bookmarkStart w:id="667" w:name="_Toc15058898"/>
      <w:bookmarkStart w:id="668" w:name="_Toc506107313"/>
      <w:bookmarkStart w:id="669" w:name="_Toc18329"/>
      <w:bookmarkStart w:id="670" w:name="_Toc246996965"/>
      <w:bookmarkStart w:id="671" w:name="_Toc324404860"/>
      <w:bookmarkStart w:id="672" w:name="_Toc246996222"/>
      <w:bookmarkStart w:id="673" w:name="_Toc179632596"/>
      <w:bookmarkStart w:id="674" w:name="_Toc78803371"/>
      <w:bookmarkStart w:id="675" w:name="_Toc296602465"/>
      <w:bookmarkStart w:id="676" w:name="_Toc35425101"/>
      <w:bookmarkStart w:id="677" w:name="_Toc152045578"/>
      <w:bookmarkStart w:id="678" w:name="_Toc247085736"/>
      <w:bookmarkStart w:id="679" w:name="_Toc152042354"/>
      <w:bookmarkStart w:id="680" w:name="_Toc144974546"/>
      <w:r>
        <w:rPr>
          <w:rFonts w:hint="eastAsia" w:ascii="宋体" w:hAnsi="宋体" w:eastAsia="宋体" w:cs="宋体"/>
          <w:color w:val="auto"/>
          <w:highlight w:val="none"/>
        </w:rPr>
        <w:t>9.4 对与评标活动有关的工作人员的纪律要求</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1"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1"/>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2" w:name="_Toc35424936"/>
      <w:bookmarkStart w:id="683" w:name="_Toc296602466"/>
      <w:bookmarkStart w:id="684" w:name="_Toc246996223"/>
      <w:bookmarkStart w:id="685" w:name="_Toc35425102"/>
      <w:bookmarkStart w:id="686" w:name="_Toc15058899"/>
      <w:bookmarkStart w:id="687" w:name="_Toc2811"/>
      <w:bookmarkStart w:id="688" w:name="_Toc506107314"/>
      <w:bookmarkStart w:id="689" w:name="_Toc152045579"/>
      <w:bookmarkStart w:id="690" w:name="_Toc247085737"/>
      <w:bookmarkStart w:id="691" w:name="_Toc152042356"/>
      <w:bookmarkStart w:id="692" w:name="_Toc23607"/>
      <w:bookmarkStart w:id="693" w:name="_Toc324404861"/>
      <w:bookmarkStart w:id="694" w:name="_Toc78803372"/>
      <w:bookmarkStart w:id="695" w:name="_Toc179632597"/>
      <w:bookmarkStart w:id="696" w:name="_Toc246996966"/>
      <w:r>
        <w:rPr>
          <w:rFonts w:hint="eastAsia" w:ascii="宋体" w:hAnsi="宋体" w:eastAsia="宋体" w:cs="宋体"/>
          <w:color w:val="auto"/>
          <w:highlight w:val="none"/>
        </w:rPr>
        <w:t>9.5 投诉</w:t>
      </w:r>
      <w:bookmarkEnd w:id="680"/>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697" w:name="_Toc152045580"/>
      <w:bookmarkStart w:id="698" w:name="_Toc152042357"/>
      <w:bookmarkStart w:id="699" w:name="_Toc179632598"/>
      <w:bookmarkStart w:id="700" w:name="_Toc16463"/>
      <w:bookmarkStart w:id="701" w:name="_Toc246996224"/>
      <w:bookmarkStart w:id="702" w:name="_Toc506107315"/>
      <w:bookmarkStart w:id="703" w:name="_Toc15058900"/>
      <w:bookmarkStart w:id="704" w:name="_Toc35425103"/>
      <w:bookmarkStart w:id="705" w:name="_Toc246996967"/>
      <w:bookmarkStart w:id="706" w:name="_Toc144974547"/>
      <w:bookmarkStart w:id="707" w:name="_Toc20669"/>
      <w:bookmarkStart w:id="708" w:name="_Toc31643"/>
      <w:bookmarkStart w:id="709" w:name="_Toc35424937"/>
      <w:bookmarkStart w:id="710" w:name="_Toc324404862"/>
      <w:bookmarkStart w:id="711" w:name="_Toc78803373"/>
      <w:bookmarkStart w:id="712" w:name="_Toc247085738"/>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3" w:name="_Toc15058901"/>
      <w:r>
        <w:rPr>
          <w:rFonts w:hint="eastAsia" w:ascii="宋体" w:hAnsi="宋体" w:cs="宋体"/>
          <w:color w:val="auto"/>
          <w:szCs w:val="21"/>
          <w:highlight w:val="none"/>
        </w:rPr>
        <w:t>需要补充的其他内容：见投标人须知前附表。</w:t>
      </w:r>
      <w:bookmarkEnd w:id="713"/>
    </w:p>
    <w:p>
      <w:pPr>
        <w:spacing w:line="440" w:lineRule="exact"/>
        <w:jc w:val="left"/>
        <w:rPr>
          <w:rFonts w:ascii="宋体" w:hAnsi="宋体" w:cs="宋体"/>
          <w:color w:val="auto"/>
          <w:szCs w:val="21"/>
          <w:highlight w:val="none"/>
        </w:rPr>
      </w:pPr>
    </w:p>
    <w:p>
      <w:pPr>
        <w:pageBreakBefore/>
        <w:spacing w:beforeLines="80" w:afterLines="80" w:line="440" w:lineRule="exact"/>
        <w:jc w:val="center"/>
        <w:outlineLvl w:val="1"/>
        <w:rPr>
          <w:rFonts w:ascii="宋体"/>
          <w:b/>
          <w:color w:val="auto"/>
          <w:sz w:val="32"/>
          <w:szCs w:val="32"/>
          <w:highlight w:val="none"/>
        </w:rPr>
      </w:pPr>
      <w:bookmarkStart w:id="714" w:name="_Toc78803375"/>
      <w:r>
        <w:rPr>
          <w:rFonts w:hint="eastAsia" w:ascii="宋体"/>
          <w:b/>
          <w:color w:val="auto"/>
          <w:sz w:val="32"/>
          <w:szCs w:val="32"/>
          <w:highlight w:val="none"/>
        </w:rPr>
        <w:t>第二章  资格审查</w:t>
      </w:r>
      <w:bookmarkEnd w:id="596"/>
      <w:r>
        <w:rPr>
          <w:rFonts w:hint="eastAsia" w:ascii="宋体"/>
          <w:b/>
          <w:color w:val="auto"/>
          <w:sz w:val="32"/>
          <w:szCs w:val="32"/>
          <w:highlight w:val="none"/>
        </w:rPr>
        <w:t>办法</w:t>
      </w:r>
      <w:bookmarkEnd w:id="597"/>
      <w:bookmarkEnd w:id="598"/>
      <w:bookmarkEnd w:id="599"/>
      <w:bookmarkEnd w:id="600"/>
      <w:bookmarkEnd w:id="714"/>
    </w:p>
    <w:p>
      <w:pPr>
        <w:spacing w:beforeLines="50" w:afterLines="50" w:line="440" w:lineRule="exact"/>
        <w:jc w:val="center"/>
        <w:rPr>
          <w:rFonts w:ascii="宋体" w:hAnsi="宋体" w:cs="宋体"/>
          <w:b/>
          <w:bCs/>
          <w:color w:val="auto"/>
          <w:sz w:val="28"/>
          <w:szCs w:val="22"/>
          <w:highlight w:val="none"/>
        </w:rPr>
      </w:pPr>
      <w:bookmarkStart w:id="715" w:name="_Toc35424940"/>
      <w:bookmarkStart w:id="716" w:name="_Toc324404865"/>
      <w:bookmarkStart w:id="717" w:name="_Toc506107318"/>
      <w:bookmarkStart w:id="718" w:name="_Toc15058903"/>
      <w:bookmarkStart w:id="719" w:name="_Toc35425106"/>
      <w:r>
        <w:rPr>
          <w:rFonts w:hint="eastAsia" w:ascii="宋体" w:hAnsi="宋体" w:cs="宋体"/>
          <w:b/>
          <w:bCs/>
          <w:color w:val="auto"/>
          <w:sz w:val="28"/>
          <w:szCs w:val="22"/>
          <w:highlight w:val="none"/>
        </w:rPr>
        <w:t>资格审查办法前附表</w:t>
      </w:r>
      <w:bookmarkEnd w:id="715"/>
      <w:bookmarkEnd w:id="716"/>
      <w:bookmarkEnd w:id="717"/>
      <w:bookmarkEnd w:id="718"/>
      <w:bookmarkEnd w:id="719"/>
    </w:p>
    <w:p>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pPr>
              <w:spacing w:line="440" w:lineRule="exac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top"/>
          </w:tcPr>
          <w:p>
            <w:pPr>
              <w:spacing w:line="440" w:lineRule="exact"/>
              <w:rPr>
                <w:rFonts w:ascii="宋体" w:hAnsi="宋体" w:cs="宋体"/>
                <w:color w:val="auto"/>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pPr>
              <w:spacing w:line="440" w:lineRule="exact"/>
              <w:rPr>
                <w:rFonts w:ascii="宋体" w:hAnsi="宋体" w:cs="宋体"/>
                <w:color w:val="auto"/>
                <w:szCs w:val="21"/>
                <w:highlight w:val="none"/>
              </w:rPr>
            </w:pPr>
          </w:p>
        </w:tc>
      </w:tr>
    </w:tbl>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pPr>
        <w:pStyle w:val="4"/>
        <w:spacing w:beforeLines="50" w:afterLines="50"/>
        <w:ind w:firstLine="422" w:firstLineChars="200"/>
        <w:rPr>
          <w:rFonts w:ascii="宋体" w:hAnsi="宋体" w:eastAsia="宋体" w:cs="宋体"/>
          <w:color w:val="auto"/>
          <w:highlight w:val="none"/>
        </w:rPr>
      </w:pPr>
      <w:bookmarkStart w:id="720" w:name="_Toc15058909"/>
      <w:bookmarkStart w:id="721" w:name="_Toc35425108"/>
      <w:bookmarkStart w:id="722" w:name="_Toc35424942"/>
      <w:bookmarkStart w:id="723" w:name="_Toc12549"/>
      <w:bookmarkStart w:id="724" w:name="_Toc78803377"/>
      <w:bookmarkStart w:id="725" w:name="_Toc506107320"/>
      <w:bookmarkStart w:id="726" w:name="_Toc324404867"/>
      <w:r>
        <w:rPr>
          <w:rFonts w:hint="eastAsia" w:ascii="宋体" w:hAnsi="宋体" w:eastAsia="宋体" w:cs="宋体"/>
          <w:color w:val="auto"/>
          <w:highlight w:val="none"/>
        </w:rPr>
        <w:t>2.审查办法</w:t>
      </w:r>
      <w:bookmarkEnd w:id="720"/>
      <w:bookmarkEnd w:id="721"/>
      <w:bookmarkEnd w:id="722"/>
      <w:bookmarkEnd w:id="723"/>
      <w:bookmarkEnd w:id="724"/>
      <w:bookmarkEnd w:id="725"/>
      <w:bookmarkEnd w:id="726"/>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pPr>
        <w:pStyle w:val="4"/>
        <w:spacing w:beforeLines="50" w:afterLines="50"/>
        <w:ind w:firstLine="422" w:firstLineChars="200"/>
        <w:rPr>
          <w:rFonts w:ascii="宋体" w:hAnsi="宋体" w:eastAsia="宋体" w:cs="宋体"/>
          <w:color w:val="auto"/>
          <w:highlight w:val="none"/>
        </w:rPr>
      </w:pPr>
      <w:bookmarkStart w:id="727" w:name="_Toc324404868"/>
      <w:bookmarkStart w:id="728" w:name="_Toc506107321"/>
      <w:bookmarkStart w:id="729" w:name="_Toc35424943"/>
      <w:bookmarkStart w:id="730" w:name="_Toc15058910"/>
      <w:bookmarkStart w:id="731" w:name="_Toc15626"/>
      <w:bookmarkStart w:id="732" w:name="_Toc78803378"/>
      <w:bookmarkStart w:id="733" w:name="_Toc35425109"/>
      <w:r>
        <w:rPr>
          <w:rFonts w:hint="eastAsia" w:ascii="宋体" w:hAnsi="宋体" w:eastAsia="宋体" w:cs="宋体"/>
          <w:color w:val="auto"/>
          <w:highlight w:val="none"/>
        </w:rPr>
        <w:t>3.资格审查委员会和审查标准</w:t>
      </w:r>
      <w:bookmarkEnd w:id="727"/>
      <w:bookmarkEnd w:id="728"/>
      <w:bookmarkEnd w:id="729"/>
      <w:bookmarkEnd w:id="730"/>
      <w:bookmarkEnd w:id="731"/>
      <w:bookmarkEnd w:id="732"/>
      <w:bookmarkEnd w:id="733"/>
    </w:p>
    <w:p>
      <w:pPr>
        <w:spacing w:line="440" w:lineRule="exact"/>
        <w:ind w:firstLine="420" w:firstLineChars="200"/>
        <w:jc w:val="left"/>
        <w:rPr>
          <w:rFonts w:hint="eastAsia" w:ascii="宋体" w:hAnsi="宋体" w:eastAsia="宋体" w:cs="宋体"/>
          <w:color w:val="auto"/>
          <w:szCs w:val="21"/>
          <w:highlight w:val="none"/>
        </w:rPr>
      </w:pPr>
      <w:bookmarkStart w:id="734" w:name="_Toc78803379"/>
      <w:bookmarkStart w:id="735" w:name="_Toc324404869"/>
      <w:bookmarkStart w:id="736" w:name="_Toc15058911"/>
      <w:bookmarkStart w:id="737" w:name="_Toc506107322"/>
      <w:bookmarkStart w:id="738" w:name="_Toc35425110"/>
      <w:bookmarkStart w:id="739" w:name="_Toc35424944"/>
      <w:bookmarkStart w:id="740" w:name="_Toc10330"/>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pPr>
        <w:pStyle w:val="4"/>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34"/>
      <w:bookmarkEnd w:id="735"/>
      <w:bookmarkEnd w:id="736"/>
      <w:bookmarkEnd w:id="737"/>
      <w:bookmarkEnd w:id="738"/>
      <w:bookmarkEnd w:id="739"/>
      <w:bookmarkEnd w:id="740"/>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1" w:name="_Toc506107323"/>
    </w:p>
    <w:p>
      <w:pPr>
        <w:pStyle w:val="3"/>
        <w:numPr>
          <w:ilvl w:val="0"/>
          <w:numId w:val="4"/>
        </w:numPr>
        <w:spacing w:beforeLines="50" w:afterLines="50"/>
        <w:rPr>
          <w:rFonts w:hint="eastAsia" w:ascii="Arial" w:hAnsi="Arial"/>
          <w:color w:val="auto"/>
          <w:kern w:val="0"/>
          <w:sz w:val="32"/>
          <w:szCs w:val="32"/>
          <w:highlight w:val="none"/>
        </w:rPr>
      </w:pPr>
      <w:bookmarkStart w:id="742" w:name="_Toc15058912"/>
      <w:bookmarkStart w:id="743" w:name="_Toc35425111"/>
      <w:bookmarkStart w:id="744" w:name="_Toc35424945"/>
      <w:r>
        <w:rPr>
          <w:rFonts w:hint="eastAsia"/>
          <w:color w:val="auto"/>
          <w:highlight w:val="none"/>
        </w:rPr>
        <w:br w:type="page"/>
      </w:r>
      <w:bookmarkStart w:id="745" w:name="_Toc78803380"/>
      <w:r>
        <w:rPr>
          <w:rFonts w:hint="eastAsia" w:ascii="Arial" w:hAnsi="Arial"/>
          <w:color w:val="auto"/>
          <w:kern w:val="0"/>
          <w:sz w:val="32"/>
          <w:szCs w:val="32"/>
          <w:highlight w:val="none"/>
        </w:rPr>
        <w:t xml:space="preserve"> 评标办法</w:t>
      </w:r>
      <w:bookmarkEnd w:id="601"/>
      <w:bookmarkEnd w:id="741"/>
      <w:bookmarkEnd w:id="742"/>
      <w:bookmarkEnd w:id="743"/>
      <w:bookmarkEnd w:id="744"/>
      <w:bookmarkEnd w:id="745"/>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一</w:t>
      </w:r>
      <w:r>
        <w:rPr>
          <w:rFonts w:hint="eastAsia" w:ascii="Times New Roman" w:hAnsi="Times New Roman" w:eastAsia="宋体" w:cs="Times New Roman"/>
          <w:b/>
          <w:color w:val="auto"/>
          <w:sz w:val="28"/>
          <w:szCs w:val="21"/>
          <w:highlight w:val="none"/>
          <w:lang w:val="en-US" w:eastAsia="zh-CN"/>
        </w:rPr>
        <w:t>）资信标评分细则（</w:t>
      </w:r>
      <w:r>
        <w:rPr>
          <w:rFonts w:hint="eastAsia" w:cs="Times New Roman"/>
          <w:b/>
          <w:color w:val="auto"/>
          <w:sz w:val="28"/>
          <w:szCs w:val="21"/>
          <w:highlight w:val="none"/>
          <w:lang w:val="en-US" w:eastAsia="zh-CN"/>
        </w:rPr>
        <w:t>26</w:t>
      </w:r>
      <w:r>
        <w:rPr>
          <w:rFonts w:hint="eastAsia" w:ascii="Times New Roman" w:hAnsi="Times New Roman" w:eastAsia="宋体" w:cs="Times New Roman"/>
          <w:b/>
          <w:color w:val="auto"/>
          <w:sz w:val="28"/>
          <w:szCs w:val="21"/>
          <w:highlight w:val="none"/>
          <w:lang w:val="en-US" w:eastAsia="zh-CN"/>
        </w:rPr>
        <w:t>分）</w:t>
      </w:r>
    </w:p>
    <w:tbl>
      <w:tblPr>
        <w:tblStyle w:val="4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610"/>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746"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61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61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否则经评委会一致认定后</w:t>
            </w:r>
            <w:r>
              <w:rPr>
                <w:rFonts w:hint="eastAsia"/>
                <w:color w:val="auto"/>
                <w:highlight w:val="none"/>
                <w:lang w:eastAsia="zh-CN"/>
              </w:rPr>
              <w:t>，</w:t>
            </w:r>
            <w:r>
              <w:rPr>
                <w:rFonts w:hint="eastAsia"/>
                <w:color w:val="auto"/>
                <w:highlight w:val="none"/>
              </w:rPr>
              <w:t>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24" w:type="dxa"/>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资信</w:t>
            </w:r>
            <w:r>
              <w:rPr>
                <w:rFonts w:hint="eastAsia" w:ascii="宋体" w:hAnsi="宋体" w:eastAsia="宋体" w:cs="宋体"/>
                <w:color w:val="auto"/>
                <w:sz w:val="21"/>
                <w:szCs w:val="21"/>
                <w:highlight w:val="none"/>
              </w:rPr>
              <w:t>标评分标准</w:t>
            </w:r>
          </w:p>
        </w:tc>
        <w:tc>
          <w:tcPr>
            <w:tcW w:w="2610" w:type="dxa"/>
            <w:noWrap w:val="0"/>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企业实力</w:t>
            </w:r>
          </w:p>
          <w:p>
            <w:pPr>
              <w:jc w:val="center"/>
              <w:rPr>
                <w:rFonts w:hint="default" w:eastAsia="宋体"/>
                <w:color w:val="auto"/>
                <w:highlight w:val="none"/>
                <w:lang w:val="en-US" w:eastAsia="zh-CN"/>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tc>
        <w:tc>
          <w:tcPr>
            <w:tcW w:w="5614" w:type="dxa"/>
            <w:shd w:val="clear" w:color="auto" w:fill="auto"/>
            <w:noWrap w:val="0"/>
            <w:vAlign w:val="center"/>
          </w:tcPr>
          <w:p>
            <w:pPr>
              <w:rPr>
                <w:rFonts w:hint="eastAsia"/>
                <w:color w:val="auto"/>
                <w:highlight w:val="none"/>
              </w:rPr>
            </w:pPr>
            <w:r>
              <w:rPr>
                <w:rFonts w:hint="eastAsia"/>
                <w:color w:val="auto"/>
                <w:highlight w:val="none"/>
              </w:rPr>
              <w:t>企业认证体系：投标人具有经中国国家认证认可监督管理委员会认证机构颁发的有效期内的下述证书的，每有一个证书得</w:t>
            </w:r>
            <w:r>
              <w:rPr>
                <w:rFonts w:hint="eastAsia"/>
                <w:color w:val="auto"/>
                <w:highlight w:val="none"/>
                <w:lang w:val="en-US" w:eastAsia="zh-CN"/>
              </w:rPr>
              <w:t>1</w:t>
            </w:r>
            <w:r>
              <w:rPr>
                <w:rFonts w:hint="eastAsia"/>
                <w:color w:val="auto"/>
                <w:highlight w:val="none"/>
              </w:rPr>
              <w:t>分，本项最高</w:t>
            </w:r>
            <w:r>
              <w:rPr>
                <w:rFonts w:hint="eastAsia"/>
                <w:color w:val="auto"/>
                <w:highlight w:val="none"/>
                <w:lang w:val="en-US" w:eastAsia="zh-CN"/>
              </w:rPr>
              <w:t>3</w:t>
            </w:r>
            <w:r>
              <w:rPr>
                <w:rFonts w:hint="eastAsia"/>
                <w:color w:val="auto"/>
                <w:highlight w:val="none"/>
              </w:rPr>
              <w:t>分。</w:t>
            </w:r>
          </w:p>
          <w:p>
            <w:pPr>
              <w:rPr>
                <w:rFonts w:hint="eastAsia"/>
                <w:color w:val="auto"/>
                <w:highlight w:val="none"/>
              </w:rPr>
            </w:pPr>
            <w:r>
              <w:rPr>
                <w:rFonts w:hint="eastAsia"/>
                <w:color w:val="auto"/>
                <w:highlight w:val="none"/>
              </w:rPr>
              <w:t>（1）质量管理体系认证证书</w:t>
            </w:r>
          </w:p>
          <w:p>
            <w:pPr>
              <w:rPr>
                <w:rFonts w:hint="eastAsia"/>
                <w:color w:val="auto"/>
                <w:highlight w:val="none"/>
              </w:rPr>
            </w:pPr>
            <w:r>
              <w:rPr>
                <w:rFonts w:hint="eastAsia"/>
                <w:color w:val="auto"/>
                <w:highlight w:val="none"/>
              </w:rPr>
              <w:t>（2）环境管理体系认证证书</w:t>
            </w:r>
          </w:p>
          <w:p>
            <w:pPr>
              <w:rPr>
                <w:rFonts w:hint="default" w:eastAsia="宋体"/>
                <w:color w:val="auto"/>
                <w:highlight w:val="none"/>
                <w:lang w:val="en-US" w:eastAsia="zh-CN"/>
              </w:rPr>
            </w:pPr>
            <w:r>
              <w:rPr>
                <w:rFonts w:hint="eastAsia"/>
                <w:color w:val="auto"/>
                <w:highlight w:val="none"/>
              </w:rPr>
              <w:t>（3）职业健康安全管理体系认证证书</w:t>
            </w:r>
            <w:r>
              <w:rPr>
                <w:rFonts w:hint="eastAsia"/>
                <w:color w:val="auto"/>
                <w:highlight w:val="none"/>
                <w:lang w:val="en-US" w:eastAsia="zh-CN"/>
              </w:rPr>
              <w:t xml:space="preserve">  </w:t>
            </w:r>
          </w:p>
          <w:p>
            <w:pPr>
              <w:rPr>
                <w:rFonts w:hint="eastAsia" w:ascii="宋体" w:hAnsi="宋体" w:eastAsia="宋体" w:cs="宋体"/>
                <w:color w:val="auto"/>
                <w:sz w:val="21"/>
                <w:szCs w:val="21"/>
                <w:highlight w:val="none"/>
                <w:lang w:val="en-US" w:eastAsia="zh-CN"/>
              </w:rPr>
            </w:pPr>
            <w:r>
              <w:rPr>
                <w:rFonts w:hint="eastAsia"/>
                <w:color w:val="auto"/>
                <w:highlight w:val="none"/>
              </w:rPr>
              <w:t>注：同时提供上述证书原件</w:t>
            </w:r>
            <w:r>
              <w:rPr>
                <w:rFonts w:hint="eastAsia"/>
                <w:color w:val="auto"/>
                <w:highlight w:val="none"/>
                <w:lang w:eastAsia="zh-CN"/>
              </w:rPr>
              <w:t>复印件</w:t>
            </w:r>
            <w:r>
              <w:rPr>
                <w:rFonts w:hint="eastAsia"/>
                <w:color w:val="auto"/>
                <w:highlight w:val="none"/>
              </w:rPr>
              <w:t>和中国国家认证认可监督管理委员会网站（www.cnca.gov.cn）证书查询截图</w:t>
            </w:r>
            <w:r>
              <w:rPr>
                <w:rFonts w:hint="eastAsia"/>
                <w:color w:val="auto"/>
                <w:highlight w:val="none"/>
                <w:lang w:val="en-US" w:eastAsia="zh-CN"/>
              </w:rPr>
              <w:t>打印</w:t>
            </w:r>
            <w:r>
              <w:rPr>
                <w:rFonts w:hint="eastAsia"/>
                <w:color w:val="auto"/>
                <w:highlight w:val="none"/>
              </w:rPr>
              <w:t>，且认证范围包含拟承担的服务内容，否则不得分。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24" w:type="dxa"/>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lang w:val="en-US" w:eastAsia="zh-CN"/>
              </w:rPr>
            </w:pPr>
          </w:p>
        </w:tc>
        <w:tc>
          <w:tcPr>
            <w:tcW w:w="2610" w:type="dxa"/>
            <w:noWrap w:val="0"/>
            <w:vAlign w:val="center"/>
          </w:tcPr>
          <w:p>
            <w:pPr>
              <w:adjustRightInd w:val="0"/>
              <w:snapToGrid w:val="0"/>
              <w:spacing w:line="560" w:lineRule="exact"/>
              <w:jc w:val="center"/>
              <w:rPr>
                <w:rFonts w:hint="eastAsia" w:ascii="宋体" w:hAnsi="宋体" w:cs="宋体"/>
                <w:color w:val="auto"/>
                <w:kern w:val="0"/>
                <w:szCs w:val="21"/>
                <w:highlight w:val="none"/>
              </w:rPr>
            </w:pPr>
            <w:r>
              <w:rPr>
                <w:rFonts w:hint="eastAsia" w:ascii="宋体" w:hAnsi="宋体"/>
                <w:color w:val="auto"/>
                <w:szCs w:val="21"/>
                <w:highlight w:val="none"/>
                <w:lang w:val="en-US" w:eastAsia="zh-CN"/>
              </w:rPr>
              <w:t>安全生产标准建设化等级（3分）</w:t>
            </w:r>
          </w:p>
        </w:tc>
        <w:tc>
          <w:tcPr>
            <w:tcW w:w="5614" w:type="dxa"/>
            <w:shd w:val="clear" w:color="auto" w:fill="auto"/>
            <w:noWrap w:val="0"/>
            <w:vAlign w:val="center"/>
          </w:tcPr>
          <w:p>
            <w:pPr>
              <w:adjustRightInd w:val="0"/>
              <w:snapToGrid w:val="0"/>
              <w:spacing w:line="560" w:lineRule="exact"/>
              <w:rPr>
                <w:rFonts w:hint="default"/>
                <w:color w:val="auto"/>
                <w:highlight w:val="none"/>
                <w:lang w:val="en-US"/>
              </w:rPr>
            </w:pPr>
            <w:r>
              <w:rPr>
                <w:rFonts w:hint="eastAsia" w:ascii="宋体" w:hAnsi="宋体"/>
                <w:color w:val="auto"/>
                <w:szCs w:val="21"/>
                <w:highlight w:val="none"/>
                <w:lang w:val="en-US" w:eastAsia="zh-CN"/>
              </w:rPr>
              <w:t>获得交通运输部监制的交通运输企业安全生产标准化一级证明证书得3分；提供证书扫描件。证书经营类型须为交通运输工程建设，证书类别须为交通运输建筑施工企业。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4" w:type="dxa"/>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610" w:type="dxa"/>
            <w:noWrap w:val="0"/>
            <w:vAlign w:val="center"/>
          </w:tcPr>
          <w:p>
            <w:pPr>
              <w:jc w:val="center"/>
              <w:rPr>
                <w:rFonts w:hint="eastAsia"/>
                <w:b/>
                <w:bCs/>
                <w:color w:val="auto"/>
                <w:highlight w:val="none"/>
              </w:rPr>
            </w:pPr>
            <w:r>
              <w:rPr>
                <w:rFonts w:hint="eastAsia" w:ascii="宋体" w:hAnsi="宋体" w:cs="宋体"/>
                <w:color w:val="auto"/>
                <w:kern w:val="0"/>
                <w:szCs w:val="21"/>
                <w:highlight w:val="none"/>
                <w:lang w:val="en-US" w:eastAsia="zh-CN"/>
              </w:rPr>
              <w:t>企业</w:t>
            </w:r>
            <w:r>
              <w:rPr>
                <w:rFonts w:hint="eastAsia" w:ascii="宋体" w:hAnsi="宋体" w:cs="宋体"/>
                <w:color w:val="auto"/>
                <w:kern w:val="0"/>
                <w:szCs w:val="21"/>
                <w:highlight w:val="none"/>
              </w:rPr>
              <w:t>业绩（</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分）</w:t>
            </w:r>
          </w:p>
        </w:tc>
        <w:tc>
          <w:tcPr>
            <w:tcW w:w="5614" w:type="dxa"/>
            <w:shd w:val="clear" w:color="auto" w:fill="auto"/>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年1月1日以来</w:t>
            </w:r>
            <w:r>
              <w:rPr>
                <w:rFonts w:hint="eastAsia" w:ascii="宋体" w:hAnsi="宋体" w:cs="宋体"/>
                <w:color w:val="auto"/>
                <w:kern w:val="0"/>
                <w:szCs w:val="21"/>
                <w:highlight w:val="none"/>
                <w:lang w:val="en-US" w:eastAsia="zh-CN"/>
              </w:rPr>
              <w:t>投标人</w:t>
            </w:r>
            <w:r>
              <w:rPr>
                <w:rFonts w:hint="eastAsia" w:ascii="宋体" w:hAnsi="宋体" w:cs="宋体"/>
                <w:color w:val="auto"/>
                <w:kern w:val="0"/>
                <w:szCs w:val="21"/>
                <w:highlight w:val="none"/>
              </w:rPr>
              <w:t>具有</w:t>
            </w:r>
            <w:r>
              <w:rPr>
                <w:rFonts w:hint="eastAsia" w:ascii="宋体" w:hAnsi="宋体" w:cs="宋体"/>
                <w:color w:val="auto"/>
                <w:kern w:val="0"/>
                <w:szCs w:val="21"/>
                <w:highlight w:val="none"/>
                <w:lang w:val="en-US" w:eastAsia="zh-CN"/>
              </w:rPr>
              <w:t>水稳填充大粒径碎石基层道路业绩的得6分，本项目最高得12分</w:t>
            </w:r>
            <w:r>
              <w:rPr>
                <w:rFonts w:hint="eastAsia" w:ascii="宋体" w:hAnsi="宋体" w:cs="宋体"/>
                <w:color w:val="auto"/>
                <w:kern w:val="0"/>
                <w:szCs w:val="21"/>
                <w:highlight w:val="none"/>
              </w:rPr>
              <w:t>。</w:t>
            </w:r>
          </w:p>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同时提供下列资料</w:t>
            </w:r>
            <w:r>
              <w:rPr>
                <w:rFonts w:hint="eastAsia" w:ascii="宋体" w:hAnsi="宋体" w:cs="宋体"/>
                <w:color w:val="auto"/>
                <w:kern w:val="0"/>
                <w:szCs w:val="21"/>
                <w:highlight w:val="none"/>
                <w:lang w:eastAsia="zh-CN"/>
              </w:rPr>
              <w:t>复印件</w:t>
            </w:r>
            <w:r>
              <w:rPr>
                <w:rFonts w:hint="eastAsia" w:ascii="宋体" w:hAnsi="宋体" w:cs="宋体"/>
                <w:color w:val="auto"/>
                <w:kern w:val="0"/>
                <w:szCs w:val="21"/>
                <w:highlight w:val="none"/>
              </w:rPr>
              <w:t>：</w:t>
            </w:r>
          </w:p>
          <w:p>
            <w:pPr>
              <w:pStyle w:val="12"/>
              <w:ind w:left="0" w:leftChars="0"/>
              <w:rPr>
                <w:rFonts w:hint="eastAsia" w:ascii="宋体" w:hAnsi="宋体" w:cs="宋体"/>
                <w:color w:val="auto"/>
                <w:szCs w:val="21"/>
                <w:highlight w:val="none"/>
              </w:rPr>
            </w:pPr>
            <w:r>
              <w:rPr>
                <w:rFonts w:hint="eastAsia" w:ascii="宋体" w:hAnsi="宋体" w:cs="宋体"/>
                <w:color w:val="auto"/>
                <w:kern w:val="0"/>
                <w:szCs w:val="21"/>
                <w:highlight w:val="none"/>
              </w:rPr>
              <w:t>①中标通知书、②</w:t>
            </w:r>
            <w:r>
              <w:rPr>
                <w:rFonts w:hint="eastAsia" w:ascii="宋体" w:hAnsi="宋体" w:cs="宋体"/>
                <w:color w:val="auto"/>
                <w:kern w:val="0"/>
                <w:szCs w:val="21"/>
                <w:highlight w:val="none"/>
                <w:lang w:val="en-US" w:eastAsia="zh-CN"/>
              </w:rPr>
              <w:t>施工合同</w:t>
            </w:r>
            <w:r>
              <w:rPr>
                <w:rFonts w:hint="eastAsia" w:ascii="宋体" w:hAnsi="宋体" w:cs="宋体"/>
                <w:color w:val="auto"/>
                <w:kern w:val="0"/>
                <w:szCs w:val="21"/>
                <w:highlight w:val="none"/>
              </w:rPr>
              <w:t>、③竣工验收报告（或竣工验收证明或竣工验收记录或竣工验收备案证）。三者缺一不可。时间以竣工验收报告（或竣工验收证明或竣工验收记录件或竣工验收备案证）日期为准，工程规模和造价以合同为准（合同中无法体现的应提供有建设单位盖章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24" w:type="dxa"/>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610" w:type="dxa"/>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项目管理机构</w:t>
            </w:r>
          </w:p>
          <w:p>
            <w:pPr>
              <w:jc w:val="center"/>
              <w:rPr>
                <w:rFonts w:hint="eastAsia"/>
                <w:b/>
                <w:bCs/>
                <w:color w:val="auto"/>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w:t>
            </w:r>
          </w:p>
        </w:tc>
        <w:tc>
          <w:tcPr>
            <w:tcW w:w="5614" w:type="dxa"/>
            <w:shd w:val="clear" w:color="auto" w:fill="auto"/>
            <w:noWrap w:val="0"/>
            <w:vAlign w:val="top"/>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1、具有</w:t>
            </w:r>
            <w:r>
              <w:rPr>
                <w:rFonts w:hint="eastAsia" w:ascii="宋体" w:hAnsi="宋体" w:cs="宋体"/>
                <w:color w:val="auto"/>
                <w:kern w:val="0"/>
                <w:szCs w:val="21"/>
                <w:highlight w:val="none"/>
                <w:lang w:val="en-US" w:eastAsia="zh-CN"/>
              </w:rPr>
              <w:t>公路相关</w:t>
            </w:r>
            <w:r>
              <w:rPr>
                <w:rFonts w:hint="eastAsia" w:ascii="宋体" w:hAnsi="宋体" w:cs="宋体"/>
                <w:color w:val="auto"/>
                <w:kern w:val="0"/>
                <w:szCs w:val="21"/>
                <w:highlight w:val="none"/>
              </w:rPr>
              <w:t>专业高级</w:t>
            </w:r>
            <w:r>
              <w:rPr>
                <w:rFonts w:hint="eastAsia" w:ascii="宋体" w:hAnsi="宋体" w:cs="宋体"/>
                <w:color w:val="auto"/>
                <w:kern w:val="0"/>
                <w:szCs w:val="21"/>
                <w:highlight w:val="none"/>
                <w:lang w:val="en-US" w:eastAsia="zh-CN"/>
              </w:rPr>
              <w:t>及以上</w:t>
            </w:r>
            <w:r>
              <w:rPr>
                <w:rFonts w:hint="eastAsia" w:ascii="宋体" w:hAnsi="宋体" w:cs="宋体"/>
                <w:color w:val="auto"/>
                <w:kern w:val="0"/>
                <w:szCs w:val="21"/>
                <w:highlight w:val="none"/>
              </w:rPr>
              <w:t>技术职称</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本项最多得</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包含项目负责人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投标人拟组建的项目机构成员（项目负责人除外）中具有公路相关</w:t>
            </w:r>
            <w:r>
              <w:rPr>
                <w:rFonts w:hint="eastAsia" w:ascii="宋体" w:hAnsi="宋体" w:cs="宋体"/>
                <w:color w:val="auto"/>
                <w:kern w:val="0"/>
                <w:szCs w:val="21"/>
                <w:highlight w:val="none"/>
              </w:rPr>
              <w:t>专业</w:t>
            </w:r>
            <w:r>
              <w:rPr>
                <w:rFonts w:hint="eastAsia" w:ascii="宋体" w:hAnsi="宋体" w:cs="宋体"/>
                <w:color w:val="auto"/>
                <w:kern w:val="0"/>
                <w:szCs w:val="21"/>
                <w:highlight w:val="none"/>
                <w:lang w:val="en-US" w:eastAsia="zh-CN"/>
              </w:rPr>
              <w:t>中级及以上职称的，每提供一份得2分，最多4分。</w:t>
            </w:r>
          </w:p>
          <w:p>
            <w:pPr>
              <w:widowControl/>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注：同一人不可重复得分。</w:t>
            </w:r>
          </w:p>
        </w:tc>
      </w:tr>
    </w:tbl>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二</w:t>
      </w:r>
      <w:r>
        <w:rPr>
          <w:rFonts w:hint="eastAsia" w:ascii="Times New Roman" w:hAnsi="Times New Roman" w:eastAsia="宋体" w:cs="Times New Roman"/>
          <w:b/>
          <w:color w:val="auto"/>
          <w:sz w:val="28"/>
          <w:szCs w:val="21"/>
          <w:highlight w:val="none"/>
          <w:lang w:val="en-US" w:eastAsia="zh-CN"/>
        </w:rPr>
        <w:t>）技术标评分细则（</w:t>
      </w:r>
      <w:r>
        <w:rPr>
          <w:rFonts w:hint="eastAsia" w:cs="Times New Roman"/>
          <w:b/>
          <w:color w:val="auto"/>
          <w:sz w:val="28"/>
          <w:szCs w:val="21"/>
          <w:highlight w:val="none"/>
          <w:lang w:val="en-US" w:eastAsia="zh-CN"/>
        </w:rPr>
        <w:t>24</w:t>
      </w:r>
      <w:r>
        <w:rPr>
          <w:rFonts w:hint="eastAsia" w:ascii="Times New Roman" w:hAnsi="Times New Roman" w:eastAsia="宋体" w:cs="Times New Roman"/>
          <w:b/>
          <w:color w:val="auto"/>
          <w:sz w:val="28"/>
          <w:szCs w:val="21"/>
          <w:highlight w:val="none"/>
          <w:lang w:val="en-US" w:eastAsia="zh-CN"/>
        </w:rPr>
        <w:t>分）</w:t>
      </w:r>
    </w:p>
    <w:tbl>
      <w:tblPr>
        <w:tblStyle w:val="4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610"/>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746"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61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61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否则经评委会一致认定后</w:t>
            </w:r>
            <w:r>
              <w:rPr>
                <w:rFonts w:hint="eastAsia"/>
                <w:color w:val="auto"/>
                <w:highlight w:val="none"/>
                <w:lang w:eastAsia="zh-CN"/>
              </w:rPr>
              <w:t>，</w:t>
            </w:r>
            <w:r>
              <w:rPr>
                <w:rFonts w:hint="eastAsia"/>
                <w:color w:val="auto"/>
                <w:highlight w:val="none"/>
              </w:rPr>
              <w:t>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24" w:type="dxa"/>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技术标评分标准</w:t>
            </w:r>
          </w:p>
        </w:tc>
        <w:tc>
          <w:tcPr>
            <w:tcW w:w="2610" w:type="dxa"/>
            <w:noWrap w:val="0"/>
            <w:vAlign w:val="center"/>
          </w:tcPr>
          <w:p>
            <w:pPr>
              <w:spacing w:line="440" w:lineRule="exact"/>
              <w:jc w:val="center"/>
              <w:rPr>
                <w:rFonts w:hint="default" w:eastAsia="宋体"/>
                <w:color w:val="auto"/>
                <w:highlight w:val="none"/>
                <w:lang w:val="en-US" w:eastAsia="zh-CN"/>
              </w:rPr>
            </w:pPr>
            <w:r>
              <w:rPr>
                <w:rFonts w:hint="eastAsia" w:ascii="宋体" w:hAnsi="宋体" w:cs="宋体"/>
                <w:b/>
                <w:bCs/>
                <w:color w:val="auto"/>
                <w:szCs w:val="21"/>
                <w:highlight w:val="none"/>
                <w:lang w:val="en-US" w:eastAsia="zh-CN"/>
              </w:rPr>
              <w:t>供货及实施方案</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分）</w:t>
            </w:r>
          </w:p>
        </w:tc>
        <w:tc>
          <w:tcPr>
            <w:tcW w:w="5614" w:type="dxa"/>
            <w:shd w:val="clear" w:color="auto" w:fill="auto"/>
            <w:noWrap w:val="0"/>
            <w:vAlign w:val="center"/>
          </w:tcPr>
          <w:p>
            <w:pPr>
              <w:numPr>
                <w:ilvl w:val="0"/>
                <w:numId w:val="5"/>
              </w:numPr>
              <w:tabs>
                <w:tab w:val="right" w:leader="dot" w:pos="8306"/>
              </w:tabs>
              <w:spacing w:line="440" w:lineRule="exact"/>
              <w:jc w:val="left"/>
              <w:rPr>
                <w:rFonts w:hint="default"/>
                <w:color w:val="auto"/>
                <w:highlight w:val="none"/>
                <w:lang w:val="en-US" w:eastAsia="zh-CN"/>
              </w:rPr>
            </w:pPr>
            <w:r>
              <w:rPr>
                <w:rFonts w:hint="eastAsia"/>
                <w:color w:val="auto"/>
                <w:highlight w:val="none"/>
                <w:lang w:val="en-US" w:eastAsia="zh-CN"/>
              </w:rPr>
              <w:t>供货及实施方案：鉴于项目施工位置运输条件较简陋，针对本项目提出有针对性的供货及实施方案，包括但不限于现场实施堆料、预处理、分段实施等具体方案以及针对项目实施的重难点分析及配套解决方案，优得2-3分；良得1-2（含）分，一般得0-1（含）分，未提供或不合格不得分；</w:t>
            </w:r>
          </w:p>
          <w:p>
            <w:pPr>
              <w:numPr>
                <w:ilvl w:val="0"/>
                <w:numId w:val="5"/>
              </w:numPr>
              <w:tabs>
                <w:tab w:val="right" w:leader="dot" w:pos="8306"/>
              </w:tabs>
              <w:spacing w:line="440" w:lineRule="exact"/>
              <w:jc w:val="left"/>
              <w:rPr>
                <w:rFonts w:hint="default"/>
                <w:color w:val="auto"/>
                <w:highlight w:val="none"/>
                <w:lang w:val="en-US" w:eastAsia="zh-CN"/>
              </w:rPr>
            </w:pPr>
            <w:r>
              <w:rPr>
                <w:rFonts w:hint="eastAsia"/>
                <w:color w:val="auto"/>
                <w:highlight w:val="none"/>
                <w:lang w:val="en-US" w:eastAsia="zh-CN"/>
              </w:rPr>
              <w:t>与原道路施工单位的配合：鉴于该项目为原道路延伸补充工程，针对项目实施过程中，基础道路路基的要求与原道路施工单位对接，以及实施过程中的相互配合方案及技术要求，优得2-3分；良得1-2（含）分，一般得0-1（含）分，未提供或不合格不得分；原道路施工单位联系方式可向招标人获取。</w:t>
            </w:r>
          </w:p>
          <w:p>
            <w:pPr>
              <w:numPr>
                <w:ilvl w:val="0"/>
                <w:numId w:val="5"/>
              </w:numPr>
              <w:tabs>
                <w:tab w:val="right" w:leader="dot" w:pos="8306"/>
              </w:tabs>
              <w:spacing w:line="440" w:lineRule="exact"/>
              <w:jc w:val="left"/>
              <w:rPr>
                <w:rFonts w:hint="default"/>
                <w:color w:val="auto"/>
                <w:highlight w:val="none"/>
                <w:lang w:val="en-US" w:eastAsia="zh-CN"/>
              </w:rPr>
            </w:pPr>
            <w:r>
              <w:rPr>
                <w:rFonts w:hint="eastAsia"/>
                <w:color w:val="auto"/>
                <w:highlight w:val="none"/>
                <w:lang w:val="en-US" w:eastAsia="zh-CN"/>
              </w:rPr>
              <w:t>质量把控方案：针对本项目实施前对基础路基路面的勘察，实施过程的质量监控方案，以及完成后自验收、预验收方案等；优得2-3分；良得1-2（含）分，一般得0-1（含）分，未提供或不合格不得分；</w:t>
            </w:r>
          </w:p>
          <w:p>
            <w:pPr>
              <w:numPr>
                <w:ilvl w:val="0"/>
                <w:numId w:val="5"/>
              </w:numPr>
              <w:tabs>
                <w:tab w:val="right" w:leader="dot" w:pos="8306"/>
              </w:tabs>
              <w:spacing w:line="440" w:lineRule="exact"/>
              <w:jc w:val="left"/>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b w:val="0"/>
                <w:bCs w:val="0"/>
                <w:color w:val="auto"/>
                <w:kern w:val="2"/>
                <w:sz w:val="21"/>
                <w:szCs w:val="24"/>
                <w:highlight w:val="none"/>
                <w:lang w:val="en-US" w:eastAsia="zh-CN" w:bidi="ar-SA"/>
              </w:rPr>
              <w:t>施工技术方案：针对本项目现场情况，道路实施过程中可达到的成品状态、具体实施方案、材料配比配方、施工流程要求等专业内容进行方案式解析；</w:t>
            </w:r>
            <w:r>
              <w:rPr>
                <w:rFonts w:hint="eastAsia"/>
                <w:color w:val="auto"/>
                <w:highlight w:val="none"/>
                <w:lang w:val="en-US" w:eastAsia="zh-CN"/>
              </w:rPr>
              <w:t>优得2-3分；良得1-2（含）分，一般得0-1（含）分，未提供或不合格不得分；</w:t>
            </w:r>
          </w:p>
          <w:p>
            <w:pPr>
              <w:numPr>
                <w:ilvl w:val="0"/>
                <w:numId w:val="5"/>
              </w:numPr>
              <w:tabs>
                <w:tab w:val="right" w:leader="dot" w:pos="8306"/>
              </w:tabs>
              <w:spacing w:line="440" w:lineRule="exact"/>
              <w:jc w:val="left"/>
              <w:rPr>
                <w:rFonts w:hint="eastAsia" w:ascii="宋体" w:hAnsi="宋体" w:eastAsia="宋体" w:cs="宋体"/>
                <w:color w:val="auto"/>
                <w:sz w:val="21"/>
                <w:szCs w:val="21"/>
                <w:highlight w:val="none"/>
                <w:lang w:val="en-US" w:eastAsia="zh-CN"/>
              </w:rPr>
            </w:pPr>
            <w:r>
              <w:rPr>
                <w:rFonts w:hint="eastAsia"/>
                <w:color w:val="auto"/>
                <w:sz w:val="21"/>
                <w:szCs w:val="21"/>
                <w:highlight w:val="none"/>
              </w:rPr>
              <w:t>安全生产</w:t>
            </w:r>
            <w:r>
              <w:rPr>
                <w:rFonts w:hint="eastAsia"/>
                <w:color w:val="auto"/>
                <w:sz w:val="21"/>
                <w:szCs w:val="21"/>
                <w:highlight w:val="none"/>
                <w:lang w:eastAsia="zh-CN"/>
              </w:rPr>
              <w:t>：</w:t>
            </w:r>
            <w:r>
              <w:rPr>
                <w:rFonts w:hint="eastAsia"/>
                <w:color w:val="auto"/>
                <w:sz w:val="21"/>
                <w:szCs w:val="21"/>
                <w:highlight w:val="none"/>
              </w:rPr>
              <w:t>安全措施有效、工作方案内容全面、科学、合理、可行。对此进行横向比较、综合打分，</w:t>
            </w:r>
            <w:r>
              <w:rPr>
                <w:rFonts w:hint="eastAsia"/>
                <w:color w:val="auto"/>
                <w:highlight w:val="none"/>
                <w:lang w:val="en-US" w:eastAsia="zh-CN"/>
              </w:rPr>
              <w:t>优得2-3分；良得1-2（含）分，一般得0-1（含）分，未提供或不合格不得分；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724" w:type="dxa"/>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610" w:type="dxa"/>
            <w:noWrap w:val="0"/>
            <w:vAlign w:val="center"/>
          </w:tcPr>
          <w:p>
            <w:pPr>
              <w:spacing w:line="440" w:lineRule="exact"/>
              <w:jc w:val="center"/>
              <w:rPr>
                <w:rFonts w:hint="eastAsia"/>
                <w:b/>
                <w:bCs/>
                <w:color w:val="auto"/>
                <w:highlight w:val="none"/>
              </w:rPr>
            </w:pPr>
            <w:r>
              <w:rPr>
                <w:rFonts w:hint="eastAsia" w:ascii="宋体" w:hAnsi="宋体" w:cs="宋体"/>
                <w:color w:val="auto"/>
                <w:kern w:val="0"/>
                <w:szCs w:val="21"/>
                <w:highlight w:val="none"/>
                <w:lang w:eastAsia="zh-CN"/>
              </w:rPr>
              <w:t>售后服务（</w:t>
            </w:r>
            <w:r>
              <w:rPr>
                <w:rFonts w:hint="eastAsia" w:ascii="宋体" w:hAnsi="宋体" w:cs="宋体"/>
                <w:color w:val="auto"/>
                <w:kern w:val="0"/>
                <w:szCs w:val="21"/>
                <w:highlight w:val="none"/>
                <w:lang w:val="en-US" w:eastAsia="zh-CN"/>
              </w:rPr>
              <w:t>9分）</w:t>
            </w:r>
          </w:p>
        </w:tc>
        <w:tc>
          <w:tcPr>
            <w:tcW w:w="5614" w:type="dxa"/>
            <w:shd w:val="clear" w:color="auto" w:fill="auto"/>
            <w:noWrap w:val="0"/>
            <w:vAlign w:val="center"/>
          </w:tcPr>
          <w:p>
            <w:pPr>
              <w:pStyle w:val="14"/>
              <w:numPr>
                <w:ilvl w:val="0"/>
                <w:numId w:val="6"/>
              </w:numPr>
              <w:spacing w:after="0" w:line="440" w:lineRule="exact"/>
              <w:ind w:left="0" w:leftChars="0" w:firstLine="0" w:firstLineChars="0"/>
              <w:jc w:val="left"/>
              <w:rPr>
                <w:rFonts w:hint="eastAsia" w:ascii="宋体" w:hAnsi="宋体" w:eastAsia="宋体" w:cs="宋体"/>
                <w:color w:val="auto"/>
                <w:szCs w:val="21"/>
                <w:highlight w:val="none"/>
                <w:lang w:val="en-US" w:eastAsia="zh-CN"/>
              </w:rPr>
            </w:pPr>
            <w:r>
              <w:rPr>
                <w:rFonts w:hint="eastAsia" w:hAnsi="宋体" w:cs="宋体"/>
                <w:color w:val="auto"/>
                <w:szCs w:val="21"/>
                <w:highlight w:val="none"/>
                <w:lang w:val="en-US" w:eastAsia="zh-CN"/>
              </w:rPr>
              <w:t>缺陷责任期</w:t>
            </w:r>
            <w:r>
              <w:rPr>
                <w:rFonts w:hint="eastAsia" w:ascii="宋体" w:hAnsi="宋体" w:eastAsia="宋体" w:cs="宋体"/>
                <w:color w:val="auto"/>
                <w:szCs w:val="21"/>
                <w:highlight w:val="none"/>
                <w:lang w:val="en-US" w:eastAsia="zh-CN"/>
              </w:rPr>
              <w:t>对路面破损、路面平整度等因素做定期巡视，如出现需要修复的情形，免费提供修复</w:t>
            </w:r>
            <w:r>
              <w:rPr>
                <w:rFonts w:hint="eastAsia" w:hAnsi="宋体" w:cs="宋体"/>
                <w:color w:val="auto"/>
                <w:szCs w:val="21"/>
                <w:highlight w:val="none"/>
                <w:lang w:val="en-US" w:eastAsia="zh-CN"/>
              </w:rPr>
              <w:t>服务</w:t>
            </w:r>
            <w:r>
              <w:rPr>
                <w:rFonts w:hint="eastAsia" w:ascii="宋体" w:hAnsi="宋体" w:eastAsia="宋体" w:cs="宋体"/>
                <w:color w:val="auto"/>
                <w:szCs w:val="21"/>
                <w:highlight w:val="none"/>
                <w:lang w:val="en-US" w:eastAsia="zh-CN"/>
              </w:rPr>
              <w:t>。</w:t>
            </w:r>
            <w:r>
              <w:rPr>
                <w:rFonts w:hint="eastAsia" w:hAnsi="宋体" w:cs="宋体"/>
                <w:color w:val="auto"/>
                <w:szCs w:val="21"/>
                <w:highlight w:val="none"/>
                <w:lang w:val="en-US" w:eastAsia="zh-CN"/>
              </w:rPr>
              <w:t>对地磅、洗车机系统提供免费维护服务，接到招标人维护维修通知后5个工作日内响应并提供相应服务</w:t>
            </w:r>
            <w:r>
              <w:rPr>
                <w:rFonts w:hint="eastAsia" w:ascii="宋体" w:hAnsi="宋体" w:eastAsia="宋体" w:cs="宋体"/>
                <w:color w:val="auto"/>
                <w:szCs w:val="21"/>
                <w:highlight w:val="none"/>
                <w:lang w:val="en-US" w:eastAsia="zh-CN"/>
              </w:rPr>
              <w:t>（提供承诺书加盖公章，提供承诺的得</w:t>
            </w:r>
            <w:r>
              <w:rPr>
                <w:rFonts w:hint="eastAsia"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pPr>
              <w:numPr>
                <w:ilvl w:val="0"/>
                <w:numId w:val="6"/>
              </w:numPr>
              <w:rPr>
                <w:rFonts w:hint="default"/>
                <w:color w:val="auto"/>
                <w:highlight w:val="none"/>
                <w:lang w:val="en-US" w:eastAsia="zh-CN"/>
              </w:rPr>
            </w:pPr>
            <w:r>
              <w:rPr>
                <w:rFonts w:hint="eastAsia"/>
                <w:color w:val="auto"/>
                <w:highlight w:val="none"/>
                <w:lang w:val="en-US" w:eastAsia="zh-CN"/>
              </w:rPr>
              <w:t>缺陷责任期满后的维护服务（包含道路及附属设施）收费标准：横向比较，按年度报价，维护费用一旦确认，不可更改，年度维护费用超出承诺标准的，由中标单位支付。且招标人有权选择其他维护单位。维护费用最低的得满分3分，维护费用较少（按低至高排列第二、第三）的得2分；维护费用较少（按低至高排列第四、第五）的得1分；其他不得分，报价一样的并列排名，得分相同。（提供年维护费用报价并加盖投标人公章）</w:t>
            </w:r>
          </w:p>
          <w:p>
            <w:pPr>
              <w:pStyle w:val="14"/>
              <w:spacing w:after="0" w:line="440" w:lineRule="exact"/>
              <w:ind w:left="0" w:leftChars="0" w:firstLine="0" w:firstLineChars="0"/>
              <w:jc w:val="left"/>
              <w:rPr>
                <w:rFonts w:hint="eastAsia" w:ascii="宋体" w:hAnsi="宋体" w:cs="宋体"/>
                <w:color w:val="auto"/>
                <w:szCs w:val="21"/>
                <w:highlight w:val="none"/>
              </w:rPr>
            </w:pPr>
            <w:r>
              <w:rPr>
                <w:rFonts w:hint="eastAsia"/>
                <w:color w:val="auto"/>
                <w:highlight w:val="none"/>
                <w:lang w:val="en-US" w:eastAsia="zh-CN"/>
              </w:rPr>
              <w:t>（3）缺陷责任期满后的维护服务年限（基本年限两年）：投标人提供缺陷责任期满后的维护服务期限每增加一年的加1分，满分3分，增加时间中不足一年的不予计取。</w:t>
            </w:r>
            <w:r>
              <w:rPr>
                <w:rFonts w:hint="eastAsia" w:ascii="宋体" w:hAnsi="宋体" w:eastAsia="宋体" w:cs="宋体"/>
                <w:color w:val="auto"/>
                <w:szCs w:val="21"/>
                <w:highlight w:val="none"/>
                <w:lang w:val="en-US" w:eastAsia="zh-CN"/>
              </w:rPr>
              <w:t>（提供承诺书加盖公章，承诺书中写明</w:t>
            </w:r>
            <w:r>
              <w:rPr>
                <w:rFonts w:hint="eastAsia"/>
                <w:color w:val="auto"/>
                <w:highlight w:val="none"/>
                <w:lang w:val="en-US" w:eastAsia="zh-CN"/>
              </w:rPr>
              <w:t>缺陷责任期满后的维护服务年限</w:t>
            </w:r>
            <w:r>
              <w:rPr>
                <w:rFonts w:hint="eastAsia" w:ascii="宋体" w:hAnsi="宋体" w:eastAsia="宋体" w:cs="宋体"/>
                <w:color w:val="auto"/>
                <w:szCs w:val="21"/>
                <w:highlight w:val="none"/>
                <w:lang w:val="en-US" w:eastAsia="zh-CN"/>
              </w:rPr>
              <w:t>时间；</w:t>
            </w:r>
            <w:r>
              <w:rPr>
                <w:rFonts w:hint="eastAsia" w:hAnsi="宋体" w:cs="宋体"/>
                <w:color w:val="auto"/>
                <w:szCs w:val="21"/>
                <w:highlight w:val="none"/>
                <w:lang w:val="en-US" w:eastAsia="zh-CN"/>
              </w:rPr>
              <w:t>未提供不得分</w:t>
            </w:r>
            <w:r>
              <w:rPr>
                <w:rFonts w:hint="eastAsia" w:ascii="宋体" w:hAnsi="宋体" w:eastAsia="宋体" w:cs="宋体"/>
                <w:color w:val="auto"/>
                <w:szCs w:val="21"/>
                <w:highlight w:val="none"/>
                <w:lang w:val="en-US" w:eastAsia="zh-CN"/>
              </w:rPr>
              <w:t>。）</w:t>
            </w:r>
          </w:p>
        </w:tc>
      </w:tr>
    </w:tbl>
    <w:p>
      <w:pPr>
        <w:pStyle w:val="199"/>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备注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该项由专家评委评审打分，取所有评委评分的平均值为最终得分，保留两位小数点，第三位四舍五入</w:t>
      </w:r>
      <w:r>
        <w:rPr>
          <w:rFonts w:hint="eastAsia" w:ascii="宋体" w:hAnsi="宋体" w:cs="宋体"/>
          <w:b/>
          <w:bCs/>
          <w:color w:val="auto"/>
          <w:szCs w:val="21"/>
          <w:highlight w:val="none"/>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三</w:t>
      </w:r>
      <w:r>
        <w:rPr>
          <w:rFonts w:hint="eastAsia" w:ascii="Times New Roman" w:hAnsi="Times New Roman" w:eastAsia="宋体" w:cs="Times New Roman"/>
          <w:b/>
          <w:color w:val="auto"/>
          <w:sz w:val="28"/>
          <w:szCs w:val="21"/>
          <w:highlight w:val="none"/>
          <w:lang w:val="en-US" w:eastAsia="zh-CN"/>
        </w:rPr>
        <w:t>）商务标评审</w:t>
      </w:r>
      <w:r>
        <w:rPr>
          <w:rFonts w:hint="eastAsia" w:cs="Times New Roman"/>
          <w:b/>
          <w:color w:val="auto"/>
          <w:sz w:val="28"/>
          <w:szCs w:val="21"/>
          <w:highlight w:val="none"/>
          <w:lang w:val="en-US" w:eastAsia="zh-CN"/>
        </w:rPr>
        <w:t>（50分）</w:t>
      </w:r>
    </w:p>
    <w:tbl>
      <w:tblPr>
        <w:tblStyle w:val="4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862"/>
        <w:gridCol w:w="2940"/>
        <w:gridCol w:w="5"/>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序</w:t>
            </w:r>
            <w:r>
              <w:rPr>
                <w:rFonts w:hint="eastAsia" w:ascii="宋体" w:hAnsi="宋体" w:cs="宋体"/>
                <w:b/>
                <w:bCs/>
                <w:color w:val="auto"/>
                <w:szCs w:val="21"/>
                <w:highlight w:val="none"/>
              </w:rPr>
              <w:t>号</w:t>
            </w:r>
          </w:p>
        </w:tc>
        <w:tc>
          <w:tcPr>
            <w:tcW w:w="3802" w:type="dxa"/>
            <w:gridSpan w:val="2"/>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083" w:type="dxa"/>
            <w:gridSpan w:val="2"/>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860" w:type="dxa"/>
            <w:gridSpan w:val="2"/>
            <w:vMerge w:val="restart"/>
            <w:noWrap/>
            <w:vAlign w:val="center"/>
          </w:tcPr>
          <w:p>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形式评审标准</w:t>
            </w:r>
          </w:p>
        </w:tc>
        <w:tc>
          <w:tcPr>
            <w:tcW w:w="3802"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投标函签字盖章</w:t>
            </w:r>
          </w:p>
        </w:tc>
        <w:tc>
          <w:tcPr>
            <w:tcW w:w="3083"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有投标人及其法定代表人</w:t>
            </w:r>
            <w:r>
              <w:rPr>
                <w:rFonts w:hint="eastAsia" w:ascii="宋体" w:hAnsi="宋体" w:eastAsia="宋体" w:cs="宋体"/>
                <w:color w:val="auto"/>
                <w:szCs w:val="21"/>
                <w:highlight w:val="none"/>
                <w:lang w:val="en-US" w:eastAsia="zh-CN"/>
              </w:rPr>
              <w:t>签字或盖章</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083" w:type="dxa"/>
            <w:gridSpan w:val="2"/>
            <w:noWrap/>
            <w:vAlign w:val="center"/>
          </w:tcPr>
          <w:p>
            <w:pPr>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章“投标文件格式”的要求</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商务标签字盖章</w:t>
            </w:r>
          </w:p>
        </w:tc>
        <w:tc>
          <w:tcPr>
            <w:tcW w:w="3083"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按投标文件格式要求签章。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报价唯一</w:t>
            </w:r>
          </w:p>
        </w:tc>
        <w:tc>
          <w:tcPr>
            <w:tcW w:w="3083" w:type="dxa"/>
            <w:gridSpan w:val="2"/>
            <w:noWrap/>
            <w:vAlign w:val="center"/>
          </w:tcPr>
          <w:p>
            <w:pPr>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只能有一个报价</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860" w:type="dxa"/>
            <w:gridSpan w:val="2"/>
            <w:vMerge w:val="restart"/>
            <w:noWrap/>
            <w:vAlign w:val="center"/>
          </w:tcPr>
          <w:p>
            <w:pPr>
              <w:spacing w:line="4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响应性评审标准</w:t>
            </w:r>
          </w:p>
        </w:tc>
        <w:tc>
          <w:tcPr>
            <w:tcW w:w="3802" w:type="dxa"/>
            <w:gridSpan w:val="2"/>
            <w:noWrap/>
            <w:vAlign w:val="center"/>
          </w:tcPr>
          <w:p>
            <w:pPr>
              <w:adjustRightInd w:val="0"/>
              <w:snapToGrid w:val="0"/>
              <w:spacing w:line="560" w:lineRule="exact"/>
              <w:jc w:val="left"/>
              <w:rPr>
                <w:rFonts w:ascii="宋体" w:hAnsi="宋体" w:cs="宋体"/>
                <w:color w:val="auto"/>
                <w:szCs w:val="21"/>
                <w:highlight w:val="none"/>
              </w:rPr>
            </w:pPr>
            <w:r>
              <w:rPr>
                <w:rFonts w:hint="eastAsia" w:ascii="宋体" w:hAnsi="宋体"/>
                <w:color w:val="auto"/>
                <w:szCs w:val="21"/>
                <w:highlight w:val="none"/>
              </w:rPr>
              <w:t>工期</w:t>
            </w:r>
          </w:p>
        </w:tc>
        <w:tc>
          <w:tcPr>
            <w:tcW w:w="3083"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工程质量</w:t>
            </w:r>
          </w:p>
        </w:tc>
        <w:tc>
          <w:tcPr>
            <w:tcW w:w="3083"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投标有效期</w:t>
            </w:r>
          </w:p>
        </w:tc>
        <w:tc>
          <w:tcPr>
            <w:tcW w:w="3083"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已标价工程量清单</w:t>
            </w:r>
          </w:p>
        </w:tc>
        <w:tc>
          <w:tcPr>
            <w:tcW w:w="3083" w:type="dxa"/>
            <w:gridSpan w:val="2"/>
            <w:noWrap/>
            <w:vAlign w:val="center"/>
          </w:tcPr>
          <w:p>
            <w:pPr>
              <w:adjustRightInd w:val="0"/>
              <w:snapToGrid w:val="0"/>
              <w:spacing w:line="560" w:lineRule="exact"/>
              <w:rPr>
                <w:rFonts w:hint="eastAsia" w:ascii="宋体" w:hAnsi="宋体" w:eastAsia="宋体" w:cs="宋体"/>
                <w:color w:val="auto"/>
                <w:szCs w:val="21"/>
                <w:highlight w:val="none"/>
                <w:lang w:eastAsia="zh-CN"/>
              </w:rPr>
            </w:pPr>
            <w:r>
              <w:rPr>
                <w:rFonts w:hint="eastAsia" w:ascii="宋体" w:hAnsi="宋体"/>
                <w:color w:val="auto"/>
                <w:szCs w:val="21"/>
                <w:highlight w:val="none"/>
              </w:rPr>
              <w:t>与招标人发布的招标工程量清单（含需评审材料清单）排序一致</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jc w:val="left"/>
              <w:rPr>
                <w:rFonts w:hint="eastAsia" w:ascii="宋体" w:hAnsi="宋体"/>
                <w:color w:val="auto"/>
                <w:szCs w:val="21"/>
                <w:highlight w:val="none"/>
              </w:rPr>
            </w:pPr>
            <w:r>
              <w:rPr>
                <w:rFonts w:hint="eastAsia" w:ascii="宋体" w:hAnsi="宋体"/>
                <w:color w:val="auto"/>
                <w:szCs w:val="21"/>
                <w:highlight w:val="none"/>
              </w:rPr>
              <w:t>投标总价评审</w:t>
            </w:r>
          </w:p>
        </w:tc>
        <w:tc>
          <w:tcPr>
            <w:tcW w:w="3083" w:type="dxa"/>
            <w:gridSpan w:val="2"/>
            <w:noWrap/>
            <w:vAlign w:val="center"/>
          </w:tcPr>
          <w:p>
            <w:pPr>
              <w:adjustRightInd w:val="0"/>
              <w:snapToGrid w:val="0"/>
              <w:spacing w:line="560" w:lineRule="exact"/>
              <w:jc w:val="left"/>
              <w:rPr>
                <w:rFonts w:hint="eastAsia" w:ascii="宋体" w:hAnsi="宋体"/>
                <w:color w:val="auto"/>
                <w:szCs w:val="21"/>
                <w:highlight w:val="none"/>
              </w:rPr>
            </w:pPr>
            <w:r>
              <w:rPr>
                <w:rFonts w:hint="eastAsia" w:ascii="宋体" w:hAnsi="宋体"/>
                <w:color w:val="auto"/>
                <w:spacing w:val="-6"/>
                <w:szCs w:val="21"/>
                <w:highlight w:val="none"/>
              </w:rPr>
              <w:t>不得高于最高投标限价，也不得低于工程成本价。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暂列金额、专业工程暂估价、分部分项工程材料及设备暂估价</w:t>
            </w:r>
          </w:p>
        </w:tc>
        <w:tc>
          <w:tcPr>
            <w:tcW w:w="3083"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与招标人发布的招标工程量清单一致。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restart"/>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860" w:type="dxa"/>
            <w:gridSpan w:val="2"/>
            <w:vMerge w:val="restart"/>
            <w:noWrap/>
            <w:vAlign w:val="center"/>
          </w:tcPr>
          <w:p>
            <w:pPr>
              <w:spacing w:line="440" w:lineRule="exact"/>
              <w:jc w:val="center"/>
              <w:rPr>
                <w:rFonts w:hint="eastAsia" w:ascii="宋体" w:hAnsi="宋体" w:eastAsia="宋体" w:cs="宋体"/>
                <w:b/>
                <w:bCs/>
                <w:color w:val="auto"/>
                <w:szCs w:val="21"/>
                <w:highlight w:val="none"/>
                <w:lang w:eastAsia="zh-CN"/>
              </w:rPr>
            </w:pPr>
            <w:r>
              <w:rPr>
                <w:rFonts w:hint="eastAsia" w:ascii="宋体" w:hAnsi="宋体"/>
                <w:color w:val="auto"/>
                <w:szCs w:val="21"/>
                <w:highlight w:val="none"/>
              </w:rPr>
              <w:t>详细评审标准</w:t>
            </w:r>
          </w:p>
        </w:tc>
        <w:tc>
          <w:tcPr>
            <w:tcW w:w="862" w:type="dxa"/>
            <w:vMerge w:val="restart"/>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工程成本评审</w:t>
            </w:r>
          </w:p>
        </w:tc>
        <w:tc>
          <w:tcPr>
            <w:tcW w:w="6023" w:type="dxa"/>
            <w:gridSpan w:val="3"/>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投标报价出现下列情形之一的，由评标委员会重点评审后界定其报价是否低于工程成本：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投标报价</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投标报价低于同一工程有效投标报价平均值10%以上。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报价内容完整性</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因投标人原因造成投标报价清单缺漏，缺漏项总额（多算或多报总额不得抵消缺漏项目总额）累计占同一工程</w:t>
            </w:r>
            <w:r>
              <w:rPr>
                <w:rFonts w:hint="eastAsia" w:ascii="宋体" w:hAnsi="宋体"/>
                <w:color w:val="auto"/>
                <w:spacing w:val="-6"/>
                <w:szCs w:val="21"/>
                <w:highlight w:val="none"/>
              </w:rPr>
              <w:t>有效投标总报价平均值</w:t>
            </w:r>
            <w:r>
              <w:rPr>
                <w:rFonts w:ascii="宋体" w:hAnsi="宋体"/>
                <w:color w:val="auto"/>
                <w:spacing w:val="-6"/>
                <w:szCs w:val="21"/>
                <w:highlight w:val="none"/>
              </w:rPr>
              <w:t>5%</w:t>
            </w:r>
            <w:r>
              <w:rPr>
                <w:rFonts w:hint="eastAsia" w:ascii="宋体" w:hAnsi="宋体"/>
                <w:color w:val="auto"/>
                <w:spacing w:val="-6"/>
                <w:szCs w:val="21"/>
                <w:highlight w:val="no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人工工日单价</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不得低于招标人发布的最高投标限价中的人工工日单价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需评审材料数量</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需评审的主要材料消耗量低于最高投标限价相应材料数量的5</w:t>
            </w:r>
            <w:r>
              <w:rPr>
                <w:rFonts w:ascii="宋体" w:hAnsi="宋体"/>
                <w:color w:val="auto"/>
                <w:szCs w:val="21"/>
                <w:highlight w:val="none"/>
              </w:rPr>
              <w:t>%</w:t>
            </w:r>
            <w:r>
              <w:rPr>
                <w:rFonts w:hint="eastAsia" w:ascii="宋体" w:hAnsi="宋体"/>
                <w:color w:val="auto"/>
                <w:szCs w:val="21"/>
                <w:highlight w:val="none"/>
              </w:rPr>
              <w:t>以上，且低于同一工程有效投标报价相应材料消耗量平均值的</w:t>
            </w:r>
            <w:r>
              <w:rPr>
                <w:rFonts w:ascii="宋体" w:hAnsi="宋体"/>
                <w:color w:val="auto"/>
                <w:szCs w:val="21"/>
                <w:highlight w:val="none"/>
              </w:rPr>
              <w:t>3%</w:t>
            </w:r>
            <w:r>
              <w:rPr>
                <w:rFonts w:hint="eastAsia" w:ascii="宋体" w:hAnsi="宋体"/>
                <w:color w:val="auto"/>
                <w:szCs w:val="21"/>
                <w:highlight w:val="no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施工机具使用费</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施工机具使用费低于同一工程有效投标报价施工机具使用费平均值的</w:t>
            </w:r>
            <w:r>
              <w:rPr>
                <w:rFonts w:ascii="宋体" w:hAnsi="宋体"/>
                <w:color w:val="auto"/>
                <w:szCs w:val="21"/>
                <w:highlight w:val="none"/>
              </w:rPr>
              <w:t>10%</w:t>
            </w:r>
            <w:r>
              <w:rPr>
                <w:rFonts w:hint="eastAsia" w:ascii="宋体" w:hAnsi="宋体"/>
                <w:color w:val="auto"/>
                <w:szCs w:val="21"/>
                <w:highlight w:val="no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管理费和利润费率</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管理费、利润投标费率低于</w:t>
            </w:r>
            <w:r>
              <w:rPr>
                <w:rFonts w:ascii="宋体" w:hAnsi="宋体"/>
                <w:color w:val="auto"/>
                <w:szCs w:val="21"/>
                <w:highlight w:val="none"/>
              </w:rPr>
              <w:t>0%</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restart"/>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无效报价</w:t>
            </w: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暂估价材料、设备</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材料、设备暂估价未按要求计入分部分项工程费。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不可竞争项目费费率</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低于建标〔2021〕42号文规定的费率。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税率</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低于《关于调整我省现行建设工程计价依据增值税税率的通知》（皖造价〔2019〕7号）规定的费率。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商务评分</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cs="宋体"/>
                <w:bCs/>
                <w:color w:val="auto"/>
                <w:szCs w:val="21"/>
                <w:highlight w:val="none"/>
                <w:lang w:val="en-US"/>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分）</w:t>
            </w:r>
          </w:p>
        </w:tc>
        <w:tc>
          <w:tcPr>
            <w:tcW w:w="4752" w:type="dxa"/>
            <w:gridSpan w:val="4"/>
            <w:noWrap/>
            <w:vAlign w:val="center"/>
          </w:tcPr>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hAnsi="宋体"/>
                <w:color w:val="auto"/>
                <w:szCs w:val="21"/>
                <w:highlight w:val="none"/>
              </w:rPr>
              <w:t>一、报价偏差率计算。</w:t>
            </w:r>
          </w:p>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hAnsi="宋体"/>
                <w:color w:val="auto"/>
                <w:szCs w:val="21"/>
                <w:highlight w:val="none"/>
              </w:rPr>
              <w:t>偏差率=|（投标报价-评标基准价）/评标基准价|×100%</w:t>
            </w:r>
          </w:p>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hAnsi="宋体"/>
                <w:color w:val="auto"/>
                <w:szCs w:val="21"/>
                <w:highlight w:val="none"/>
              </w:rPr>
              <w:t>二、报价得分计算。</w:t>
            </w:r>
          </w:p>
          <w:p>
            <w:pPr>
              <w:pStyle w:val="14"/>
              <w:adjustRightInd w:val="0"/>
              <w:snapToGrid w:val="0"/>
              <w:spacing w:after="0" w:line="560" w:lineRule="exact"/>
              <w:ind w:left="0" w:leftChars="0" w:firstLine="0" w:firstLineChars="0"/>
              <w:jc w:val="left"/>
              <w:rPr>
                <w:rFonts w:hAnsi="宋体"/>
                <w:color w:val="auto"/>
                <w:szCs w:val="21"/>
                <w:highlight w:val="none"/>
              </w:rPr>
            </w:pPr>
            <w:r>
              <w:rPr>
                <w:rFonts w:hint="eastAsia" w:hAnsi="宋体"/>
                <w:color w:val="auto"/>
                <w:szCs w:val="21"/>
                <w:highlight w:val="none"/>
              </w:rPr>
              <w:t>投标报价等于评标基准价的得满分，其余投标人的报价得分按照下列公示计算：</w:t>
            </w:r>
          </w:p>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hAnsi="宋体"/>
                <w:color w:val="auto"/>
                <w:szCs w:val="21"/>
                <w:highlight w:val="none"/>
              </w:rPr>
              <w:t>①投标报价高于评标基准价的，投标报价得分=报价满分值-偏差率×100×1</w:t>
            </w:r>
          </w:p>
          <w:p>
            <w:pPr>
              <w:pStyle w:val="14"/>
              <w:adjustRightInd w:val="0"/>
              <w:snapToGrid w:val="0"/>
              <w:spacing w:after="0" w:line="560" w:lineRule="exact"/>
              <w:ind w:left="0" w:leftChars="0" w:firstLine="0" w:firstLineChars="0"/>
              <w:jc w:val="left"/>
              <w:rPr>
                <w:rFonts w:hAnsi="宋体"/>
                <w:color w:val="auto"/>
                <w:szCs w:val="21"/>
                <w:highlight w:val="none"/>
              </w:rPr>
            </w:pPr>
            <w:r>
              <w:rPr>
                <w:rFonts w:hint="eastAsia" w:hAnsi="宋体"/>
                <w:color w:val="auto"/>
                <w:szCs w:val="21"/>
                <w:highlight w:val="none"/>
              </w:rPr>
              <w:t>②投标报价低于评标基准价的，投标报价得分=报价满分值-偏差率×100×0.5</w:t>
            </w:r>
          </w:p>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color w:val="auto"/>
                <w:highlight w:val="none"/>
              </w:rPr>
              <w:t>注：1、偏差率=|（投标报价-评标基准价）/评标基准价|</w:t>
            </w:r>
            <w:r>
              <w:rPr>
                <w:rFonts w:hint="eastAsia" w:hAnsi="宋体"/>
                <w:color w:val="auto"/>
                <w:szCs w:val="21"/>
                <w:highlight w:val="none"/>
              </w:rPr>
              <w:t>×100%</w:t>
            </w:r>
          </w:p>
          <w:p>
            <w:pPr>
              <w:adjustRightInd w:val="0"/>
              <w:snapToGrid w:val="0"/>
              <w:spacing w:line="560" w:lineRule="exact"/>
              <w:rPr>
                <w:color w:val="auto"/>
                <w:highlight w:val="none"/>
              </w:rPr>
            </w:pPr>
            <w:r>
              <w:rPr>
                <w:rFonts w:hint="eastAsia" w:ascii="宋体" w:hAnsi="宋体"/>
                <w:color w:val="auto"/>
                <w:szCs w:val="21"/>
                <w:highlight w:val="none"/>
              </w:rPr>
              <w:t>2、计算过程中，B值、评标基准价（F值）、偏差率、报价得分均保留两位小数，小数点后第三位四舍五入。</w:t>
            </w:r>
          </w:p>
        </w:tc>
        <w:tc>
          <w:tcPr>
            <w:tcW w:w="3078" w:type="dxa"/>
            <w:noWrap/>
            <w:vAlign w:val="center"/>
          </w:tcPr>
          <w:p>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评标基准价F=B×（1-K）其中：K为调整系数，K的取值为-0.5%（1号），0%（2号），0.5%（3号），1.0%（4号），1.5%（5号）。</w:t>
            </w:r>
          </w:p>
          <w:p>
            <w:pPr>
              <w:adjustRightInd w:val="0"/>
              <w:snapToGrid w:val="0"/>
              <w:spacing w:line="560" w:lineRule="exact"/>
              <w:rPr>
                <w:rFonts w:hint="eastAsia" w:ascii="宋体" w:hAnsi="宋体"/>
                <w:color w:val="auto"/>
                <w:szCs w:val="21"/>
                <w:highlight w:val="none"/>
                <w:lang w:val="en-US" w:eastAsia="zh-CN"/>
              </w:rPr>
            </w:pPr>
            <w:r>
              <w:rPr>
                <w:rFonts w:hint="eastAsia" w:ascii="宋体" w:hAnsi="宋体" w:cs="宋体"/>
                <w:color w:val="auto"/>
                <w:szCs w:val="21"/>
                <w:highlight w:val="none"/>
              </w:rPr>
              <w:t>B</w:t>
            </w:r>
            <w:r>
              <w:rPr>
                <w:rFonts w:hint="eastAsia" w:ascii="宋体" w:hAnsi="宋体" w:cs="宋体"/>
                <w:color w:val="auto"/>
                <w:kern w:val="0"/>
                <w:szCs w:val="21"/>
                <w:highlight w:val="none"/>
              </w:rPr>
              <w:t>值</w:t>
            </w:r>
            <w:r>
              <w:rPr>
                <w:rFonts w:hint="eastAsia" w:ascii="宋体" w:hAnsi="宋体" w:cs="宋体"/>
                <w:color w:val="auto"/>
                <w:szCs w:val="21"/>
                <w:highlight w:val="none"/>
              </w:rPr>
              <w:t>为计算范围内有效投标人报价的算术平均值。</w:t>
            </w:r>
          </w:p>
        </w:tc>
      </w:tr>
    </w:tbl>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lang w:eastAsia="zh-CN"/>
        </w:rPr>
      </w:pPr>
      <w:bookmarkStart w:id="746" w:name="_Toc246996975"/>
      <w:bookmarkStart w:id="747" w:name="_Toc144974556"/>
      <w:bookmarkStart w:id="748" w:name="_Toc152045589"/>
      <w:bookmarkStart w:id="749" w:name="_Toc246996232"/>
      <w:bookmarkStart w:id="750" w:name="_Toc152042366"/>
      <w:bookmarkStart w:id="751" w:name="_Toc35424947"/>
      <w:bookmarkStart w:id="752" w:name="_Toc324404872"/>
      <w:bookmarkStart w:id="753" w:name="_Toc247085747"/>
      <w:bookmarkStart w:id="754" w:name="_Toc6491"/>
      <w:bookmarkStart w:id="755" w:name="_Toc506107324"/>
      <w:bookmarkStart w:id="756" w:name="_Toc179632607"/>
      <w:bookmarkStart w:id="757" w:name="_Toc15058913"/>
      <w:bookmarkStart w:id="758" w:name="_Toc35425113"/>
      <w:bookmarkStart w:id="759" w:name="_Toc78803381"/>
      <w:r>
        <w:rPr>
          <w:rFonts w:hint="eastAsia" w:ascii="宋体" w:hAnsi="宋体" w:cs="宋体"/>
          <w:color w:val="auto"/>
          <w:szCs w:val="21"/>
          <w:highlight w:val="none"/>
          <w:lang w:eastAsia="zh-CN"/>
        </w:rPr>
        <w:t>商务标评审表注：</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（1）投标人总报价如超过A值，A值=最高投标限价×（1-J） +（暂列金额+暂估价）×1.09×J（其中J=</w:t>
      </w:r>
      <w:r>
        <w:rPr>
          <w:rFonts w:hint="eastAsia" w:ascii="宋体" w:hAnsi="宋体" w:cs="宋体"/>
          <w:b/>
          <w:bCs/>
          <w:color w:val="auto"/>
          <w:szCs w:val="21"/>
          <w:highlight w:val="none"/>
          <w:lang w:val="en-US" w:eastAsia="zh-CN"/>
        </w:rPr>
        <w:t>13</w:t>
      </w:r>
      <w:r>
        <w:rPr>
          <w:rFonts w:hint="eastAsia" w:ascii="宋体" w:hAnsi="宋体" w:cs="宋体"/>
          <w:b/>
          <w:bCs/>
          <w:color w:val="auto"/>
          <w:szCs w:val="21"/>
          <w:highlight w:val="none"/>
          <w:lang w:eastAsia="zh-CN"/>
        </w:rPr>
        <w:t xml:space="preserve">%），则商务标不得分，且该投标报价不参与B值计算。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（2）只有通过详细评审的有效投标人才能参加商务报价评分。</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（3）本表所称投标报价是指按招标文件规定修正后的投标总报价（多算投标报价、多报费用不扣减）。</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（4）B值计算方法：计算范围内有效投标人报价的算术平均值。</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1.评标方法</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bookmarkStart w:id="760" w:name="_Toc35424948"/>
      <w:bookmarkStart w:id="761" w:name="_Toc506107325"/>
      <w:bookmarkStart w:id="762" w:name="_Toc11945"/>
      <w:bookmarkStart w:id="763" w:name="_Toc35425114"/>
      <w:bookmarkStart w:id="764" w:name="_Toc324404873"/>
      <w:bookmarkStart w:id="765" w:name="_Toc15058914"/>
      <w:bookmarkStart w:id="766" w:name="_Toc78803382"/>
      <w:bookmarkStart w:id="767" w:name="_Toc247085748"/>
      <w:bookmarkStart w:id="768" w:name="_Toc152042367"/>
      <w:bookmarkStart w:id="769" w:name="_Toc246996233"/>
      <w:bookmarkStart w:id="770" w:name="_Toc246996976"/>
      <w:bookmarkStart w:id="771" w:name="_Toc152045590"/>
      <w:bookmarkStart w:id="772" w:name="_Toc144974557"/>
      <w:bookmarkStart w:id="773" w:name="_Toc179632608"/>
      <w:bookmarkStart w:id="774" w:name="_Toc296602478"/>
      <w:r>
        <w:rPr>
          <w:rFonts w:hint="eastAsia" w:ascii="宋体" w:hAnsi="宋体" w:eastAsia="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60"/>
      <w:bookmarkEnd w:id="761"/>
      <w:bookmarkEnd w:id="762"/>
      <w:bookmarkEnd w:id="763"/>
      <w:bookmarkEnd w:id="764"/>
      <w:bookmarkEnd w:id="765"/>
      <w:bookmarkEnd w:id="766"/>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bookmarkStart w:id="775" w:name="_Toc35424949"/>
      <w:bookmarkStart w:id="776" w:name="_Toc15058915"/>
      <w:bookmarkStart w:id="777" w:name="_Toc17377"/>
      <w:bookmarkStart w:id="778" w:name="_Toc78803384"/>
      <w:bookmarkStart w:id="779" w:name="_Toc35425115"/>
      <w:bookmarkStart w:id="780" w:name="_Toc506107326"/>
      <w:bookmarkStart w:id="781" w:name="_Toc324404874"/>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3.评标程序</w:t>
      </w:r>
      <w:bookmarkEnd w:id="775"/>
      <w:bookmarkEnd w:id="776"/>
      <w:bookmarkEnd w:id="777"/>
      <w:bookmarkEnd w:id="778"/>
      <w:bookmarkEnd w:id="779"/>
      <w:bookmarkEnd w:id="780"/>
      <w:bookmarkEnd w:id="781"/>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评标先做准备工作，先进行资信</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技术标评审，</w:t>
      </w:r>
      <w:r>
        <w:rPr>
          <w:rFonts w:hint="eastAsia" w:ascii="宋体" w:hAnsi="宋体" w:cs="宋体"/>
          <w:color w:val="auto"/>
          <w:szCs w:val="21"/>
          <w:highlight w:val="none"/>
          <w:lang w:val="en-US" w:eastAsia="zh-CN"/>
        </w:rPr>
        <w:t>然</w:t>
      </w:r>
      <w:r>
        <w:rPr>
          <w:rFonts w:hint="eastAsia" w:ascii="宋体" w:hAnsi="宋体" w:cs="宋体"/>
          <w:color w:val="auto"/>
          <w:szCs w:val="21"/>
          <w:highlight w:val="none"/>
        </w:rPr>
        <w:t>后进行商务标评审。</w:t>
      </w:r>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782" w:name="_Toc78803385"/>
      <w:bookmarkStart w:id="783" w:name="_Toc35424950"/>
      <w:bookmarkStart w:id="784" w:name="_Toc27389"/>
      <w:bookmarkStart w:id="785" w:name="_Toc35425116"/>
      <w:bookmarkStart w:id="786" w:name="_Toc15058916"/>
      <w:r>
        <w:rPr>
          <w:rFonts w:hint="eastAsia" w:ascii="宋体" w:hAnsi="宋体" w:eastAsia="宋体" w:cs="宋体"/>
          <w:color w:val="auto"/>
          <w:highlight w:val="none"/>
        </w:rPr>
        <w:t>3.1评标准备工作</w:t>
      </w:r>
      <w:bookmarkEnd w:id="782"/>
      <w:bookmarkEnd w:id="783"/>
      <w:bookmarkEnd w:id="784"/>
      <w:bookmarkEnd w:id="785"/>
      <w:bookmarkEnd w:id="786"/>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787" w:name="_Toc15058917"/>
      <w:bookmarkStart w:id="788" w:name="_Toc35425117"/>
      <w:bookmarkStart w:id="789" w:name="_Toc78803386"/>
      <w:bookmarkStart w:id="790" w:name="_Toc35424951"/>
      <w:bookmarkStart w:id="791" w:name="_Toc24650"/>
      <w:bookmarkStart w:id="792" w:name="_Toc1299"/>
      <w:bookmarkStart w:id="793" w:name="_Toc35425120"/>
      <w:bookmarkStart w:id="794" w:name="_Toc506107327"/>
      <w:bookmarkStart w:id="795" w:name="_Toc15058919"/>
      <w:bookmarkStart w:id="796" w:name="_Toc12200"/>
      <w:bookmarkStart w:id="797" w:name="_Toc35424954"/>
      <w:bookmarkStart w:id="798" w:name="_Toc324404875"/>
      <w:r>
        <w:rPr>
          <w:rFonts w:hint="eastAsia" w:ascii="宋体" w:hAnsi="宋体" w:eastAsia="宋体" w:cs="宋体"/>
          <w:color w:val="auto"/>
          <w:highlight w:val="none"/>
        </w:rPr>
        <w:t>3.2技术标评审</w:t>
      </w:r>
      <w:bookmarkEnd w:id="787"/>
      <w:bookmarkEnd w:id="788"/>
      <w:bookmarkEnd w:id="789"/>
      <w:bookmarkEnd w:id="790"/>
      <w:bookmarkEnd w:id="791"/>
      <w:bookmarkEnd w:id="792"/>
    </w:p>
    <w:p>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详见技术标评审表。</w:t>
      </w:r>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799" w:name="_Toc15058918"/>
      <w:bookmarkStart w:id="800" w:name="_Toc17468"/>
      <w:bookmarkStart w:id="801" w:name="_Toc35424952"/>
      <w:bookmarkStart w:id="802" w:name="_Toc11990"/>
      <w:bookmarkStart w:id="803" w:name="_Toc35425118"/>
      <w:bookmarkStart w:id="804" w:name="_Toc78803387"/>
      <w:r>
        <w:rPr>
          <w:rFonts w:hint="eastAsia" w:ascii="宋体" w:hAnsi="宋体" w:eastAsia="宋体" w:cs="宋体"/>
          <w:color w:val="auto"/>
          <w:highlight w:val="none"/>
        </w:rPr>
        <w:t>3.3商务标评审</w:t>
      </w:r>
      <w:bookmarkEnd w:id="799"/>
      <w:bookmarkEnd w:id="800"/>
      <w:bookmarkEnd w:id="801"/>
      <w:bookmarkEnd w:id="802"/>
      <w:bookmarkEnd w:id="803"/>
      <w:bookmarkEnd w:id="804"/>
    </w:p>
    <w:p>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pPr>
        <w:pageBreakBefore w:val="0"/>
        <w:widowControl w:val="0"/>
        <w:kinsoku/>
        <w:wordWrap/>
        <w:overflowPunct/>
        <w:topLinePunct w:val="0"/>
        <w:autoSpaceDE/>
        <w:autoSpaceDN/>
        <w:bidi w:val="0"/>
        <w:spacing w:line="400" w:lineRule="exact"/>
        <w:ind w:firstLine="422" w:firstLineChars="200"/>
        <w:jc w:val="left"/>
        <w:textAlignment w:val="auto"/>
        <w:rPr>
          <w:rStyle w:val="198"/>
          <w:rFonts w:hint="eastAsia" w:ascii="宋体" w:hAnsi="宋体" w:eastAsia="宋体" w:cs="宋体"/>
          <w:color w:val="auto"/>
          <w:highlight w:val="none"/>
        </w:rPr>
      </w:pPr>
      <w:bookmarkStart w:id="805" w:name="_Toc26895"/>
      <w:bookmarkStart w:id="806" w:name="_Toc18087"/>
      <w:bookmarkStart w:id="807" w:name="_Toc35424953"/>
      <w:bookmarkStart w:id="808" w:name="_Toc78803388"/>
      <w:bookmarkStart w:id="809" w:name="_Toc35425119"/>
      <w:r>
        <w:rPr>
          <w:rStyle w:val="198"/>
          <w:rFonts w:hint="eastAsia" w:ascii="宋体" w:hAnsi="宋体" w:eastAsia="宋体" w:cs="宋体"/>
          <w:color w:val="auto"/>
          <w:highlight w:val="none"/>
        </w:rPr>
        <w:t>3.4推荐中标候选人</w:t>
      </w:r>
      <w:bookmarkEnd w:id="805"/>
      <w:bookmarkEnd w:id="806"/>
      <w:bookmarkEnd w:id="807"/>
      <w:bookmarkEnd w:id="808"/>
      <w:bookmarkEnd w:id="809"/>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10" w:name="_Toc78803389"/>
      <w:r>
        <w:rPr>
          <w:rFonts w:hint="eastAsia" w:ascii="宋体" w:hAnsi="宋体" w:eastAsia="宋体" w:cs="宋体"/>
          <w:color w:val="auto"/>
          <w:highlight w:val="none"/>
        </w:rPr>
        <w:t>4.评审内容</w:t>
      </w:r>
      <w:bookmarkEnd w:id="793"/>
      <w:bookmarkEnd w:id="794"/>
      <w:bookmarkEnd w:id="795"/>
      <w:bookmarkEnd w:id="796"/>
      <w:bookmarkEnd w:id="797"/>
      <w:bookmarkEnd w:id="798"/>
      <w:bookmarkEnd w:id="810"/>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811" w:name="_Toc9630"/>
      <w:bookmarkStart w:id="812" w:name="_Toc78803390"/>
      <w:r>
        <w:rPr>
          <w:rFonts w:hint="eastAsia" w:ascii="宋体" w:hAnsi="宋体" w:eastAsia="宋体" w:cs="宋体"/>
          <w:color w:val="auto"/>
          <w:highlight w:val="none"/>
        </w:rPr>
        <w:t>4.1</w:t>
      </w:r>
      <w:bookmarkEnd w:id="811"/>
      <w:bookmarkEnd w:id="812"/>
      <w:bookmarkStart w:id="813" w:name="_Toc35424956"/>
      <w:bookmarkStart w:id="814" w:name="_Toc78803391"/>
      <w:bookmarkStart w:id="815" w:name="_Toc3531"/>
      <w:bookmarkStart w:id="816" w:name="_Toc15058921"/>
      <w:bookmarkStart w:id="817" w:name="_Toc35425122"/>
      <w:bookmarkStart w:id="818" w:name="_Toc324404876"/>
      <w:r>
        <w:rPr>
          <w:rFonts w:hint="eastAsia" w:ascii="宋体" w:hAnsi="宋体" w:eastAsia="宋体" w:cs="宋体"/>
          <w:color w:val="auto"/>
          <w:highlight w:val="none"/>
        </w:rPr>
        <w:t>商务标评审</w:t>
      </w:r>
      <w:bookmarkEnd w:id="813"/>
      <w:bookmarkEnd w:id="814"/>
      <w:bookmarkEnd w:id="815"/>
      <w:bookmarkEnd w:id="816"/>
      <w:bookmarkEnd w:id="817"/>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只有通过技术标评审的投标才能够进入本阶段评审。</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4.1.1形式性评审标准：见商务标评审表。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4.1.2响应性评审标准：见商务标评审表。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.3详细评审标准：见商务标评审表。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bookmarkStart w:id="819" w:name="_Toc78803392"/>
      <w:bookmarkStart w:id="820" w:name="_Toc15058922"/>
      <w:bookmarkStart w:id="821" w:name="_Toc506107328"/>
      <w:bookmarkStart w:id="822" w:name="_Toc13125"/>
      <w:bookmarkStart w:id="823" w:name="_Toc35424957"/>
      <w:bookmarkStart w:id="824" w:name="_Toc35425123"/>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（3）工程量清单报价表中综合单价与工程量清单项目价格分析表相对应综合单价不一致时，以工程量清单项目价格分析表中标出的综合单价为准。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5.无效投标条款</w:t>
      </w:r>
      <w:bookmarkEnd w:id="818"/>
      <w:bookmarkEnd w:id="819"/>
      <w:bookmarkEnd w:id="820"/>
      <w:bookmarkEnd w:id="821"/>
      <w:bookmarkEnd w:id="822"/>
      <w:bookmarkEnd w:id="823"/>
      <w:bookmarkEnd w:id="824"/>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（1）未在投标截止时间前通过</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递交有效电子投标文件的，投标将被拒绝。</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.1商标评审</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评标委员会依据《商务标评审表》进行形式性评审和响应性评审。有一项不符合评审标准的，做无效投标处理；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（2）商务标详细评审标准中有任何一项不能通过评审的，作无效投标处理。</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）投标人联系人或联系电话相同的。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法律、法规规定的其他情形。</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25" w:name="_Toc506107329"/>
      <w:bookmarkStart w:id="826" w:name="_Toc78803393"/>
      <w:bookmarkStart w:id="827" w:name="_Toc27846"/>
      <w:bookmarkStart w:id="828" w:name="_Toc324404877"/>
      <w:bookmarkStart w:id="829" w:name="_Toc15058923"/>
      <w:bookmarkStart w:id="830" w:name="_Toc35425124"/>
      <w:bookmarkStart w:id="831" w:name="_Toc35424958"/>
      <w:r>
        <w:rPr>
          <w:rFonts w:hint="eastAsia" w:ascii="宋体" w:hAnsi="宋体" w:eastAsia="宋体" w:cs="宋体"/>
          <w:color w:val="auto"/>
          <w:highlight w:val="none"/>
        </w:rPr>
        <w:t>6.投标文件的澄清和补正</w:t>
      </w:r>
      <w:bookmarkEnd w:id="825"/>
      <w:bookmarkEnd w:id="826"/>
      <w:bookmarkEnd w:id="827"/>
      <w:bookmarkEnd w:id="828"/>
      <w:bookmarkEnd w:id="829"/>
      <w:bookmarkEnd w:id="830"/>
      <w:bookmarkEnd w:id="831"/>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32" w:name="_Toc15058924"/>
      <w:bookmarkStart w:id="833" w:name="_Toc506107330"/>
      <w:bookmarkStart w:id="834" w:name="_Toc13990"/>
      <w:bookmarkStart w:id="835" w:name="_Toc324404878"/>
      <w:bookmarkStart w:id="836" w:name="_Toc35424959"/>
      <w:bookmarkStart w:id="837" w:name="_Toc78803394"/>
      <w:bookmarkStart w:id="838" w:name="_Toc35425125"/>
      <w:r>
        <w:rPr>
          <w:rFonts w:hint="eastAsia" w:ascii="宋体" w:hAnsi="宋体" w:eastAsia="宋体" w:cs="宋体"/>
          <w:color w:val="auto"/>
          <w:highlight w:val="none"/>
        </w:rPr>
        <w:t>7.评分标准</w:t>
      </w:r>
      <w:bookmarkEnd w:id="832"/>
      <w:bookmarkEnd w:id="833"/>
      <w:bookmarkEnd w:id="834"/>
      <w:bookmarkEnd w:id="835"/>
      <w:bookmarkEnd w:id="836"/>
      <w:bookmarkEnd w:id="837"/>
      <w:bookmarkEnd w:id="838"/>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39" w:name="_Toc78803395"/>
      <w:bookmarkStart w:id="840" w:name="_Toc15058925"/>
      <w:bookmarkStart w:id="841" w:name="_Toc22863"/>
      <w:bookmarkStart w:id="842" w:name="_Toc506107331"/>
      <w:bookmarkStart w:id="843" w:name="_Toc324404879"/>
      <w:bookmarkStart w:id="844" w:name="_Toc35424960"/>
      <w:bookmarkStart w:id="845" w:name="_Toc35425126"/>
      <w:r>
        <w:rPr>
          <w:rFonts w:hint="eastAsia" w:ascii="宋体" w:hAnsi="宋体" w:eastAsia="宋体" w:cs="宋体"/>
          <w:color w:val="auto"/>
          <w:highlight w:val="none"/>
        </w:rPr>
        <w:t>8.评审结果</w:t>
      </w:r>
      <w:bookmarkEnd w:id="839"/>
      <w:bookmarkEnd w:id="840"/>
      <w:bookmarkEnd w:id="841"/>
      <w:bookmarkEnd w:id="842"/>
      <w:bookmarkEnd w:id="843"/>
      <w:bookmarkEnd w:id="844"/>
      <w:bookmarkEnd w:id="845"/>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46" w:name="_Toc324404880"/>
      <w:bookmarkStart w:id="847" w:name="_Toc506107332"/>
      <w:bookmarkStart w:id="848" w:name="_Toc15058926"/>
      <w:bookmarkStart w:id="849" w:name="_Toc1576"/>
      <w:bookmarkStart w:id="850" w:name="_Toc78803396"/>
      <w:bookmarkStart w:id="851" w:name="_Toc35425127"/>
      <w:bookmarkStart w:id="852" w:name="_Toc35424961"/>
      <w:r>
        <w:rPr>
          <w:rFonts w:hint="eastAsia" w:ascii="宋体" w:hAnsi="宋体" w:eastAsia="宋体" w:cs="宋体"/>
          <w:color w:val="auto"/>
          <w:highlight w:val="none"/>
        </w:rPr>
        <w:t>9.其他</w:t>
      </w:r>
      <w:bookmarkEnd w:id="846"/>
      <w:bookmarkEnd w:id="847"/>
      <w:bookmarkEnd w:id="848"/>
      <w:bookmarkEnd w:id="849"/>
      <w:bookmarkEnd w:id="850"/>
      <w:bookmarkEnd w:id="851"/>
      <w:bookmarkEnd w:id="852"/>
    </w:p>
    <w:bookmarkEnd w:id="767"/>
    <w:bookmarkEnd w:id="768"/>
    <w:bookmarkEnd w:id="769"/>
    <w:bookmarkEnd w:id="770"/>
    <w:bookmarkEnd w:id="771"/>
    <w:bookmarkEnd w:id="772"/>
    <w:bookmarkEnd w:id="773"/>
    <w:bookmarkEnd w:id="774"/>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bookmarkStart w:id="853" w:name="_Toc35424962"/>
      <w:bookmarkStart w:id="854" w:name="_Toc506107333"/>
      <w:bookmarkStart w:id="855" w:name="_Toc15058927"/>
      <w:bookmarkStart w:id="856" w:name="_Toc35425128"/>
      <w:bookmarkStart w:id="857" w:name="_Toc179632785"/>
      <w:bookmarkStart w:id="858" w:name="_Toc152042546"/>
      <w:bookmarkStart w:id="859" w:name="_Toc144974826"/>
      <w:bookmarkStart w:id="860" w:name="_Toc152045767"/>
      <w:r>
        <w:rPr>
          <w:rFonts w:hint="eastAsia" w:ascii="宋体" w:hAnsi="宋体" w:eastAsia="宋体" w:cs="宋体"/>
          <w:color w:val="auto"/>
          <w:szCs w:val="21"/>
          <w:highlight w:val="none"/>
        </w:rPr>
        <w:t>投标人提供的与投标文件有关的各类证书、证明、文件、资料等的真实性、合法性由投标人负全责。</w:t>
      </w:r>
    </w:p>
    <w:p>
      <w:pPr>
        <w:rPr>
          <w:color w:val="auto"/>
          <w:highlight w:val="none"/>
        </w:rPr>
      </w:pPr>
    </w:p>
    <w:p>
      <w:pPr>
        <w:rPr>
          <w:rFonts w:hint="eastAsia"/>
          <w:color w:val="auto"/>
          <w:highlight w:val="none"/>
        </w:rPr>
      </w:pPr>
      <w:r>
        <w:rPr>
          <w:rFonts w:hint="eastAsia"/>
          <w:color w:val="auto"/>
          <w:highlight w:val="none"/>
        </w:rPr>
        <w:br w:type="page"/>
      </w:r>
      <w:bookmarkStart w:id="861" w:name="_Toc78803397"/>
    </w:p>
    <w:bookmarkEnd w:id="853"/>
    <w:bookmarkEnd w:id="854"/>
    <w:bookmarkEnd w:id="855"/>
    <w:bookmarkEnd w:id="856"/>
    <w:bookmarkEnd w:id="861"/>
    <w:p>
      <w:pPr>
        <w:pStyle w:val="3"/>
        <w:rPr>
          <w:rFonts w:hint="eastAsia" w:ascii="Arial" w:hAnsi="Arial"/>
          <w:color w:val="auto"/>
          <w:kern w:val="0"/>
          <w:sz w:val="32"/>
          <w:szCs w:val="32"/>
          <w:highlight w:val="none"/>
        </w:rPr>
      </w:pPr>
      <w:bookmarkStart w:id="862" w:name="_Toc16721"/>
    </w:p>
    <w:p>
      <w:pPr>
        <w:pStyle w:val="3"/>
        <w:rPr>
          <w:color w:val="auto"/>
          <w:highlight w:val="none"/>
        </w:rPr>
      </w:pPr>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2"/>
    </w:p>
    <w:p>
      <w:pPr>
        <w:spacing w:line="360" w:lineRule="auto"/>
        <w:jc w:val="center"/>
        <w:rPr>
          <w:rFonts w:ascii="仿宋_GB2312" w:eastAsia="仿宋_GB2312"/>
          <w:b/>
          <w:color w:val="auto"/>
          <w:sz w:val="28"/>
          <w:szCs w:val="28"/>
          <w:highlight w:val="none"/>
        </w:rPr>
      </w:pPr>
    </w:p>
    <w:p>
      <w:pPr>
        <w:adjustRightInd w:val="0"/>
        <w:snapToGrid w:val="0"/>
        <w:spacing w:line="560" w:lineRule="exact"/>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w:t>
      </w:r>
      <w:r>
        <w:rPr>
          <w:rFonts w:hint="eastAsia" w:eastAsia="仿宋_GB2312"/>
          <w:bCs/>
          <w:color w:val="auto"/>
          <w:sz w:val="32"/>
          <w:szCs w:val="32"/>
          <w:highlight w:val="none"/>
          <w:u w:val="single"/>
          <w:lang w:val="en-US" w:eastAsia="zh-CN"/>
        </w:rPr>
        <w:t xml:space="preserve"> </w:t>
      </w:r>
      <w:r>
        <w:rPr>
          <w:rFonts w:hint="eastAsia" w:eastAsia="仿宋_GB2312"/>
          <w:bCs/>
          <w:color w:val="auto"/>
          <w:sz w:val="32"/>
          <w:szCs w:val="32"/>
          <w:highlight w:val="none"/>
          <w:u w:val="single"/>
        </w:rPr>
        <w:t>）</w:t>
      </w:r>
    </w:p>
    <w:p>
      <w:pPr>
        <w:adjustRightInd w:val="0"/>
        <w:snapToGrid w:val="0"/>
        <w:spacing w:line="560" w:lineRule="exact"/>
        <w:jc w:val="center"/>
        <w:rPr>
          <w:rFonts w:eastAsia="华文中宋"/>
          <w:b/>
          <w:color w:val="auto"/>
          <w:sz w:val="52"/>
          <w:szCs w:val="52"/>
          <w:highlight w:val="none"/>
        </w:rPr>
      </w:pPr>
    </w:p>
    <w:p>
      <w:pPr>
        <w:adjustRightInd w:val="0"/>
        <w:snapToGrid w:val="0"/>
        <w:jc w:val="center"/>
        <w:rPr>
          <w:rFonts w:eastAsia="华文中宋"/>
          <w:b/>
          <w:color w:val="auto"/>
          <w:sz w:val="52"/>
          <w:szCs w:val="52"/>
          <w:highlight w:val="none"/>
        </w:rPr>
      </w:pPr>
      <w:r>
        <w:rPr>
          <w:rFonts w:hint="eastAsia" w:ascii="宋体" w:hAnsi="宋体" w:cs="宋体"/>
          <w:b/>
          <w:color w:val="auto"/>
          <w:sz w:val="72"/>
          <w:szCs w:val="52"/>
          <w:highlight w:val="none"/>
        </w:rPr>
        <w:t>施工合同</w:t>
      </w:r>
      <w:r>
        <w:rPr>
          <w:rFonts w:eastAsia="华文中宋"/>
          <w:b/>
          <w:color w:val="auto"/>
          <w:sz w:val="52"/>
          <w:szCs w:val="52"/>
          <w:highlight w:val="none"/>
        </w:rPr>
        <w:br w:type="textWrapping"/>
      </w:r>
      <w:bookmarkStart w:id="863" w:name="_Toc60061567"/>
    </w:p>
    <w:p>
      <w:pPr>
        <w:adjustRightInd w:val="0"/>
        <w:snapToGrid w:val="0"/>
        <w:spacing w:line="560" w:lineRule="exact"/>
        <w:jc w:val="center"/>
        <w:rPr>
          <w:rFonts w:eastAsia="华文中宋"/>
          <w:b/>
          <w:color w:val="auto"/>
          <w:sz w:val="52"/>
          <w:szCs w:val="52"/>
          <w:highlight w:val="none"/>
        </w:rPr>
      </w:pPr>
    </w:p>
    <w:p>
      <w:pPr>
        <w:adjustRightInd w:val="0"/>
        <w:snapToGrid w:val="0"/>
        <w:spacing w:line="560" w:lineRule="exact"/>
        <w:jc w:val="center"/>
        <w:rPr>
          <w:rFonts w:eastAsia="黑体"/>
          <w:b/>
          <w:color w:val="auto"/>
          <w:sz w:val="72"/>
          <w:szCs w:val="72"/>
          <w:highlight w:val="none"/>
        </w:rPr>
      </w:pPr>
    </w:p>
    <w:p>
      <w:pPr>
        <w:adjustRightInd w:val="0"/>
        <w:snapToGrid w:val="0"/>
        <w:spacing w:line="560" w:lineRule="exact"/>
        <w:jc w:val="center"/>
        <w:rPr>
          <w:rFonts w:hint="eastAsia" w:ascii="宋体" w:hAnsi="宋体" w:cs="宋体"/>
          <w:b/>
          <w:color w:val="auto"/>
          <w:sz w:val="54"/>
          <w:szCs w:val="72"/>
          <w:highlight w:val="none"/>
        </w:rPr>
      </w:pPr>
    </w:p>
    <w:p>
      <w:pPr>
        <w:pStyle w:val="14"/>
        <w:rPr>
          <w:color w:val="auto"/>
          <w:highlight w:val="none"/>
        </w:rPr>
      </w:pPr>
    </w:p>
    <w:p>
      <w:pPr>
        <w:adjustRightInd w:val="0"/>
        <w:snapToGrid w:val="0"/>
        <w:spacing w:line="560" w:lineRule="exact"/>
        <w:jc w:val="center"/>
        <w:rPr>
          <w:rFonts w:eastAsia="黑体"/>
          <w:b/>
          <w:color w:val="auto"/>
          <w:sz w:val="52"/>
          <w:szCs w:val="52"/>
          <w:highlight w:val="none"/>
        </w:rPr>
      </w:pPr>
    </w:p>
    <w:p>
      <w:pPr>
        <w:adjustRightInd w:val="0"/>
        <w:snapToGrid w:val="0"/>
        <w:spacing w:line="560" w:lineRule="exact"/>
        <w:rPr>
          <w:b/>
          <w:color w:val="auto"/>
          <w:sz w:val="28"/>
          <w:szCs w:val="28"/>
          <w:highlight w:val="none"/>
        </w:rPr>
      </w:pPr>
    </w:p>
    <w:p>
      <w:pPr>
        <w:adjustRightInd w:val="0"/>
        <w:snapToGrid w:val="0"/>
        <w:spacing w:line="560" w:lineRule="exact"/>
        <w:rPr>
          <w:b/>
          <w:color w:val="auto"/>
          <w:sz w:val="28"/>
          <w:szCs w:val="28"/>
          <w:highlight w:val="none"/>
        </w:rPr>
      </w:pPr>
    </w:p>
    <w:p>
      <w:pPr>
        <w:pStyle w:val="14"/>
        <w:rPr>
          <w:b/>
          <w:color w:val="auto"/>
          <w:sz w:val="28"/>
          <w:szCs w:val="28"/>
          <w:highlight w:val="none"/>
        </w:rPr>
      </w:pPr>
    </w:p>
    <w:p>
      <w:pPr>
        <w:rPr>
          <w:b/>
          <w:color w:val="auto"/>
          <w:sz w:val="28"/>
          <w:szCs w:val="28"/>
          <w:highlight w:val="none"/>
        </w:rPr>
      </w:pPr>
    </w:p>
    <w:p>
      <w:pPr>
        <w:pStyle w:val="14"/>
        <w:rPr>
          <w:b/>
          <w:color w:val="auto"/>
          <w:sz w:val="28"/>
          <w:szCs w:val="28"/>
          <w:highlight w:val="none"/>
        </w:rPr>
      </w:pPr>
    </w:p>
    <w:p>
      <w:pPr>
        <w:rPr>
          <w:b/>
          <w:color w:val="auto"/>
          <w:sz w:val="28"/>
          <w:szCs w:val="28"/>
          <w:highlight w:val="none"/>
        </w:rPr>
      </w:pPr>
    </w:p>
    <w:p>
      <w:pPr>
        <w:pStyle w:val="14"/>
        <w:jc w:val="center"/>
        <w:rPr>
          <w:color w:val="auto"/>
          <w:highlight w:val="none"/>
        </w:rPr>
      </w:pPr>
    </w:p>
    <w:p>
      <w:pPr>
        <w:spacing w:line="360" w:lineRule="auto"/>
        <w:jc w:val="center"/>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none"/>
          <w:lang w:val="en-US" w:eastAsia="zh-CN"/>
        </w:rPr>
        <w:t>发  包  人</w:t>
      </w:r>
      <w:r>
        <w:rPr>
          <w:rFonts w:hint="eastAsia" w:ascii="宋体" w:hAnsi="宋体" w:cs="宋体"/>
          <w:b/>
          <w:color w:val="auto"/>
          <w:sz w:val="24"/>
          <w:highlight w:val="none"/>
          <w:u w:val="none"/>
        </w:rPr>
        <w:t>（全称）：</w:t>
      </w:r>
      <w:r>
        <w:rPr>
          <w:rFonts w:hint="eastAsia" w:ascii="宋体" w:hAnsi="宋体" w:cs="宋体"/>
          <w:b/>
          <w:color w:val="auto"/>
          <w:sz w:val="24"/>
          <w:highlight w:val="none"/>
          <w:u w:val="single"/>
          <w:lang w:val="en-US" w:eastAsia="zh-CN"/>
        </w:rPr>
        <w:t>安徽巢东矿业高新材料有限责任公司</w:t>
      </w:r>
    </w:p>
    <w:p>
      <w:pPr>
        <w:jc w:val="both"/>
        <w:rPr>
          <w:rFonts w:hint="eastAsia" w:ascii="宋体" w:hAnsi="宋体" w:cs="宋体"/>
          <w:b/>
          <w:color w:val="auto"/>
          <w:sz w:val="24"/>
          <w:highlight w:val="none"/>
          <w:u w:val="single"/>
        </w:rPr>
      </w:pP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承</w:t>
      </w: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包</w:t>
      </w: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人（全称）：</w:t>
      </w:r>
      <w:r>
        <w:rPr>
          <w:rFonts w:hint="eastAsia" w:ascii="宋体" w:hAnsi="宋体" w:cs="宋体"/>
          <w:b/>
          <w:color w:val="auto"/>
          <w:sz w:val="24"/>
          <w:highlight w:val="none"/>
          <w:u w:val="single"/>
        </w:rPr>
        <w:t xml:space="preserve">                  </w:t>
      </w:r>
    </w:p>
    <w:p>
      <w:pPr>
        <w:pStyle w:val="14"/>
        <w:rPr>
          <w:rFonts w:hint="eastAsia"/>
          <w:color w:val="auto"/>
          <w:highlight w:val="none"/>
        </w:rPr>
      </w:pPr>
    </w:p>
    <w:p>
      <w:pPr>
        <w:jc w:val="center"/>
        <w:rPr>
          <w:rFonts w:hint="default" w:eastAsia="宋体"/>
          <w:b/>
          <w:color w:val="auto"/>
          <w:sz w:val="28"/>
          <w:szCs w:val="28"/>
          <w:highlight w:val="none"/>
          <w:lang w:val="en-US" w:eastAsia="zh-CN"/>
        </w:rPr>
      </w:pPr>
      <w:r>
        <w:rPr>
          <w:rFonts w:hint="eastAsia"/>
          <w:b/>
          <w:color w:val="auto"/>
          <w:sz w:val="28"/>
          <w:szCs w:val="28"/>
          <w:highlight w:val="none"/>
          <w:lang w:val="en-US" w:eastAsia="zh-CN"/>
        </w:rPr>
        <w:t>2024年  月  日</w:t>
      </w:r>
    </w:p>
    <w:p>
      <w:pPr>
        <w:pStyle w:val="14"/>
        <w:rPr>
          <w:b/>
          <w:color w:val="auto"/>
          <w:sz w:val="28"/>
          <w:szCs w:val="28"/>
          <w:highlight w:val="none"/>
        </w:rPr>
      </w:pPr>
    </w:p>
    <w:p>
      <w:pPr>
        <w:rPr>
          <w:b/>
          <w:color w:val="auto"/>
          <w:sz w:val="28"/>
          <w:szCs w:val="28"/>
          <w:highlight w:val="none"/>
        </w:rPr>
      </w:pPr>
    </w:p>
    <w:p>
      <w:pPr>
        <w:pStyle w:val="14"/>
        <w:rPr>
          <w:color w:val="auto"/>
          <w:highlight w:val="none"/>
        </w:rPr>
      </w:pPr>
    </w:p>
    <w:p>
      <w:pPr>
        <w:pStyle w:val="14"/>
        <w:rPr>
          <w:color w:val="auto"/>
          <w:highlight w:val="none"/>
        </w:rPr>
      </w:pPr>
    </w:p>
    <w:p>
      <w:pPr>
        <w:adjustRightInd w:val="0"/>
        <w:snapToGrid w:val="0"/>
        <w:spacing w:line="560" w:lineRule="exact"/>
        <w:rPr>
          <w:b/>
          <w:color w:val="auto"/>
          <w:sz w:val="28"/>
          <w:szCs w:val="28"/>
          <w:highlight w:val="none"/>
        </w:rPr>
      </w:pPr>
    </w:p>
    <w:bookmarkEnd w:id="863"/>
    <w:p>
      <w:pPr>
        <w:rPr>
          <w:rFonts w:hint="eastAsia"/>
          <w:color w:val="auto"/>
          <w:highlight w:val="none"/>
        </w:rPr>
      </w:pPr>
      <w:r>
        <w:rPr>
          <w:rFonts w:hint="eastAsia"/>
          <w:color w:val="auto"/>
          <w:highlight w:val="none"/>
        </w:rPr>
        <w:br w:type="page"/>
      </w:r>
    </w:p>
    <w:p>
      <w:pPr>
        <w:keepNext/>
        <w:keepLines/>
        <w:spacing w:line="360" w:lineRule="auto"/>
        <w:jc w:val="center"/>
        <w:outlineLvl w:val="1"/>
        <w:rPr>
          <w:rFonts w:hint="eastAsia" w:ascii="宋体" w:hAnsi="宋体" w:cs="宋体"/>
          <w:b/>
          <w:bCs/>
          <w:color w:val="auto"/>
          <w:sz w:val="32"/>
          <w:szCs w:val="32"/>
          <w:highlight w:val="none"/>
        </w:rPr>
      </w:pPr>
      <w:bookmarkStart w:id="864" w:name="_Toc28799376"/>
      <w:bookmarkStart w:id="865" w:name="_Toc3977"/>
      <w:bookmarkStart w:id="866" w:name="_Toc95223459"/>
      <w:bookmarkStart w:id="867" w:name="_Toc29801"/>
      <w:bookmarkStart w:id="868" w:name="_Toc2308"/>
      <w:r>
        <w:rPr>
          <w:rFonts w:hint="eastAsia" w:ascii="宋体" w:hAnsi="宋体" w:cs="宋体"/>
          <w:b/>
          <w:bCs/>
          <w:color w:val="auto"/>
          <w:sz w:val="32"/>
          <w:szCs w:val="32"/>
          <w:highlight w:val="none"/>
        </w:rPr>
        <w:t>第一节  合同协议书</w:t>
      </w:r>
      <w:bookmarkEnd w:id="864"/>
      <w:bookmarkEnd w:id="865"/>
      <w:bookmarkEnd w:id="866"/>
    </w:p>
    <w:p>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安徽巢东矿业高新材料有限责任公司</w:t>
      </w:r>
    </w:p>
    <w:p>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  </w:t>
      </w:r>
    </w:p>
    <w:p>
      <w:pPr>
        <w:spacing w:line="360" w:lineRule="auto"/>
        <w:ind w:firstLine="420" w:firstLineChars="200"/>
        <w:rPr>
          <w:rFonts w:hint="eastAsia" w:ascii="宋体" w:hAnsi="宋体" w:cs="宋体"/>
          <w:color w:val="auto"/>
          <w:szCs w:val="21"/>
          <w:highlight w:val="none"/>
          <w:u w:val="single"/>
        </w:rPr>
      </w:pP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eastAsia="宋体" w:cs="宋体"/>
          <w:color w:val="auto"/>
          <w:szCs w:val="21"/>
          <w:highlight w:val="none"/>
          <w:u w:val="single"/>
          <w:lang w:eastAsia="zh-CN"/>
        </w:rPr>
        <w:t>巢东矿业环山路延伸及道路附属</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69" w:name="_Toc351203481"/>
    </w:p>
    <w:p>
      <w:pP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69"/>
    </w:p>
    <w:p>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eastAsia="宋体" w:cs="宋体"/>
          <w:color w:val="auto"/>
          <w:szCs w:val="21"/>
          <w:highlight w:val="none"/>
          <w:u w:val="single"/>
          <w:lang w:eastAsia="zh-CN"/>
        </w:rPr>
        <w:t>巢东矿业环山路延伸及道路附属</w:t>
      </w:r>
      <w:r>
        <w:rPr>
          <w:rFonts w:hint="eastAsia" w:ascii="宋体" w:hAnsi="宋体" w:eastAsia="宋体" w:cs="宋体"/>
          <w:color w:val="auto"/>
          <w:szCs w:val="21"/>
          <w:highlight w:val="none"/>
          <w:u w:val="single"/>
        </w:rPr>
        <w:t>工程</w:t>
      </w:r>
      <w:r>
        <w:rPr>
          <w:rFonts w:hint="eastAsia" w:ascii="宋体" w:hAnsi="宋体" w:cs="宋体"/>
          <w:color w:val="auto"/>
          <w:szCs w:val="21"/>
          <w:highlight w:val="none"/>
          <w:u w:val="single"/>
        </w:rPr>
        <w:t>。</w:t>
      </w:r>
    </w:p>
    <w:p>
      <w:pPr>
        <w:spacing w:line="360" w:lineRule="auto"/>
        <w:ind w:firstLine="411" w:firstLineChars="196"/>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ascii="宋体" w:hAnsi="宋体" w:cs="宋体"/>
          <w:bCs/>
          <w:color w:val="auto"/>
          <w:szCs w:val="21"/>
          <w:highlight w:val="none"/>
          <w:u w:val="none"/>
        </w:rPr>
        <w:t>：</w:t>
      </w:r>
      <w:r>
        <w:rPr>
          <w:rFonts w:hint="eastAsia" w:hAnsi="宋体" w:cs="宋体"/>
          <w:color w:val="auto"/>
          <w:szCs w:val="21"/>
          <w:highlight w:val="none"/>
          <w:u w:val="none"/>
          <w:lang w:val="en-US" w:eastAsia="zh-CN"/>
        </w:rPr>
        <w:t>明光市涧溪镇姚郭村村委会向东约2KM</w:t>
      </w:r>
      <w:r>
        <w:rPr>
          <w:rFonts w:hint="eastAsia" w:ascii="宋体" w:hAnsi="宋体" w:cs="宋体"/>
          <w:color w:val="auto"/>
          <w:szCs w:val="21"/>
          <w:highlight w:val="none"/>
          <w:u w:val="none"/>
        </w:rPr>
        <w:t>。</w:t>
      </w:r>
    </w:p>
    <w:p>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3.资金来源：</w:t>
      </w:r>
      <w:r>
        <w:rPr>
          <w:rFonts w:hint="eastAsia" w:ascii="宋体" w:hAnsi="宋体" w:eastAsia="宋体" w:cs="宋体"/>
          <w:color w:val="auto"/>
          <w:sz w:val="21"/>
          <w:szCs w:val="21"/>
          <w:highlight w:val="none"/>
          <w:lang w:val="en-US" w:eastAsia="zh-CN"/>
        </w:rPr>
        <w:t>自筹资金</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原3.83KM环山道路延伸建设、地磅、洗车机采购安装、原3.83KM环山道路护栏采购安装</w:t>
      </w:r>
      <w:r>
        <w:rPr>
          <w:rFonts w:hint="eastAsia" w:ascii="宋体" w:hAnsi="宋体" w:cs="宋体"/>
          <w:bCs/>
          <w:color w:val="auto"/>
          <w:szCs w:val="21"/>
          <w:highlight w:val="none"/>
          <w:u w:val="single"/>
        </w:rPr>
        <w:t>。</w:t>
      </w:r>
    </w:p>
    <w:p>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eastAsia="宋体" w:cs="宋体"/>
          <w:color w:val="auto"/>
          <w:kern w:val="2"/>
          <w:sz w:val="21"/>
          <w:szCs w:val="21"/>
          <w:highlight w:val="none"/>
          <w:lang w:val="en-US" w:eastAsia="zh-CN" w:bidi="ar-SA"/>
        </w:rPr>
        <w:t>包括：1.巢东矿业原环山路K0+720预留约50米路基已水稳硬化，路宽8米；安装SCS-200型电子汽车衡及称重系统（详见工程量清单及地磅施工图，地磅长度为18米包含在预留的50米内）地磅出入口剩余部分需铺设C30混凝土，厚240mm（混凝土弯拉强度不小于5.0MPa）；2.巢东矿业原环山路起点向矿山内延伸约45米至巢东矿业已修建的三级沉淀池处，该段道路包含挖填方水稳基础路面等全部道路施工内容（详见工程量清单及道路施工图），此处安装全自动型洗车台，包含基础、水电、护栏等（详见工程量清单及洗车机施工图），在洗车机入口处道路向矿山区内延伸约10米作为洗车机引导路段。3.巢东矿业原3.83km环山路需要增设两侧安全护栏安装（巢东矿业有库存护栏及立柱，库存护栏为原3.83km环山路拆除下来的护栏，部分护栏拆除时已损坏），施工单位需优先使用库存护栏立柱安装，库存不足需采购安装原标准的新护栏立柱，安装新旧护栏立柱单价以中标价为准，工程量最终根据审计结果据实结算。</w:t>
      </w:r>
    </w:p>
    <w:p>
      <w:pPr>
        <w:spacing w:line="360" w:lineRule="auto"/>
        <w:ind w:firstLine="422" w:firstLineChars="200"/>
        <w:rPr>
          <w:rFonts w:hint="eastAsia" w:ascii="宋体" w:hAnsi="宋体" w:cs="宋体"/>
          <w:b/>
          <w:color w:val="auto"/>
          <w:szCs w:val="21"/>
          <w:highlight w:val="none"/>
          <w:u w:val="single"/>
        </w:rPr>
      </w:pPr>
      <w:bookmarkStart w:id="870" w:name="_Toc351203482"/>
      <w:r>
        <w:rPr>
          <w:rFonts w:hint="eastAsia" w:ascii="宋体" w:hAnsi="宋体" w:cs="宋体"/>
          <w:b/>
          <w:color w:val="auto"/>
          <w:szCs w:val="21"/>
          <w:highlight w:val="none"/>
          <w:u w:val="single"/>
        </w:rPr>
        <w:t>二、合同工期</w:t>
      </w:r>
      <w:bookmarkEnd w:id="870"/>
    </w:p>
    <w:p>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pPr>
        <w:spacing w:line="360" w:lineRule="auto"/>
        <w:ind w:firstLine="422" w:firstLineChars="200"/>
        <w:rPr>
          <w:rFonts w:hint="eastAsia" w:ascii="宋体" w:hAnsi="宋体" w:cs="宋体"/>
          <w:b/>
          <w:color w:val="auto"/>
          <w:szCs w:val="21"/>
          <w:highlight w:val="none"/>
          <w:u w:val="single"/>
        </w:rPr>
      </w:pPr>
      <w:bookmarkStart w:id="871" w:name="_Toc351203483"/>
      <w:r>
        <w:rPr>
          <w:rFonts w:hint="eastAsia" w:ascii="宋体" w:hAnsi="宋体" w:cs="宋体"/>
          <w:b/>
          <w:color w:val="auto"/>
          <w:szCs w:val="21"/>
          <w:highlight w:val="none"/>
          <w:u w:val="single"/>
        </w:rPr>
        <w:t>三、质量标准</w:t>
      </w:r>
      <w:bookmarkEnd w:id="871"/>
    </w:p>
    <w:p>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工程质量符合</w:t>
      </w:r>
      <w:r>
        <w:rPr>
          <w:rFonts w:hint="eastAsia" w:ascii="宋体" w:hAnsi="宋体" w:cs="宋体"/>
          <w:color w:val="auto"/>
          <w:szCs w:val="21"/>
          <w:highlight w:val="none"/>
          <w:u w:val="single"/>
          <w:lang w:val="en-US" w:eastAsia="zh-CN"/>
        </w:rPr>
        <w:t>国家相关法律法规规定的</w:t>
      </w:r>
      <w:r>
        <w:rPr>
          <w:rFonts w:hint="eastAsia" w:ascii="宋体" w:hAnsi="宋体" w:cs="宋体"/>
          <w:color w:val="auto"/>
          <w:szCs w:val="21"/>
          <w:highlight w:val="none"/>
          <w:u w:val="single"/>
        </w:rPr>
        <w:t>标准。</w:t>
      </w:r>
    </w:p>
    <w:p>
      <w:pPr>
        <w:spacing w:line="360" w:lineRule="auto"/>
        <w:ind w:firstLine="422" w:firstLineChars="200"/>
        <w:rPr>
          <w:rFonts w:hint="eastAsia" w:ascii="宋体" w:hAnsi="宋体" w:cs="宋体"/>
          <w:b/>
          <w:color w:val="auto"/>
          <w:szCs w:val="21"/>
          <w:highlight w:val="none"/>
          <w:u w:val="single"/>
        </w:rPr>
      </w:pPr>
      <w:bookmarkStart w:id="872" w:name="_Toc351203484"/>
      <w:r>
        <w:rPr>
          <w:rFonts w:hint="eastAsia" w:ascii="宋体" w:hAnsi="宋体" w:cs="宋体"/>
          <w:b/>
          <w:color w:val="auto"/>
          <w:szCs w:val="21"/>
          <w:highlight w:val="none"/>
          <w:u w:val="single"/>
        </w:rPr>
        <w:t>四、签约合同价与合同价格形式</w:t>
      </w:r>
      <w:bookmarkEnd w:id="872"/>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pPr>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固定单价</w:t>
      </w:r>
      <w:r>
        <w:rPr>
          <w:rFonts w:hint="eastAsia" w:ascii="宋体" w:hAnsi="宋体" w:cs="宋体"/>
          <w:color w:val="auto"/>
          <w:szCs w:val="21"/>
          <w:highlight w:val="none"/>
        </w:rPr>
        <w:t>。</w:t>
      </w:r>
    </w:p>
    <w:p>
      <w:pPr>
        <w:spacing w:line="360" w:lineRule="auto"/>
        <w:ind w:firstLine="422" w:firstLineChars="200"/>
        <w:rPr>
          <w:rFonts w:hint="eastAsia" w:ascii="宋体" w:hAnsi="宋体" w:cs="宋体"/>
          <w:b/>
          <w:color w:val="auto"/>
          <w:szCs w:val="21"/>
          <w:highlight w:val="none"/>
        </w:rPr>
      </w:pPr>
      <w:bookmarkStart w:id="873" w:name="_Toc351203485"/>
      <w:r>
        <w:rPr>
          <w:rFonts w:hint="eastAsia" w:ascii="宋体" w:hAnsi="宋体" w:cs="宋体"/>
          <w:b/>
          <w:color w:val="auto"/>
          <w:szCs w:val="21"/>
          <w:highlight w:val="none"/>
        </w:rPr>
        <w:t>五、</w:t>
      </w:r>
      <w:bookmarkEnd w:id="873"/>
      <w:r>
        <w:rPr>
          <w:rFonts w:hint="eastAsia" w:ascii="宋体" w:hAnsi="宋体" w:cs="宋体"/>
          <w:b/>
          <w:color w:val="auto"/>
          <w:szCs w:val="21"/>
          <w:highlight w:val="none"/>
        </w:rPr>
        <w:t>项目经理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2" w:firstLineChars="200"/>
        <w:rPr>
          <w:rFonts w:hint="eastAsia" w:ascii="宋体" w:hAnsi="宋体" w:cs="宋体"/>
          <w:b/>
          <w:color w:val="auto"/>
          <w:szCs w:val="21"/>
          <w:highlight w:val="none"/>
        </w:rPr>
      </w:pPr>
      <w:bookmarkStart w:id="874" w:name="_Toc351203486"/>
      <w:r>
        <w:rPr>
          <w:rFonts w:hint="eastAsia" w:ascii="宋体" w:hAnsi="宋体" w:cs="宋体"/>
          <w:b/>
          <w:color w:val="auto"/>
          <w:szCs w:val="21"/>
          <w:highlight w:val="none"/>
        </w:rPr>
        <w:t>六、合同文件构成</w:t>
      </w:r>
      <w:bookmarkEnd w:id="874"/>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（6）图纸；</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（8）其他合同文件。</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22" w:firstLineChars="200"/>
        <w:rPr>
          <w:rFonts w:hint="eastAsia" w:ascii="宋体" w:hAnsi="宋体" w:cs="宋体"/>
          <w:b/>
          <w:color w:val="auto"/>
          <w:szCs w:val="21"/>
          <w:highlight w:val="none"/>
        </w:rPr>
      </w:pPr>
      <w:bookmarkStart w:id="875" w:name="_Toc351203487"/>
      <w:r>
        <w:rPr>
          <w:rFonts w:hint="eastAsia" w:ascii="宋体" w:hAnsi="宋体" w:cs="宋体"/>
          <w:b/>
          <w:color w:val="auto"/>
          <w:szCs w:val="21"/>
          <w:highlight w:val="none"/>
        </w:rPr>
        <w:t>七、承诺</w:t>
      </w:r>
      <w:bookmarkEnd w:id="875"/>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pPr>
        <w:spacing w:line="360" w:lineRule="auto"/>
        <w:ind w:firstLine="422" w:firstLineChars="200"/>
        <w:rPr>
          <w:rFonts w:hint="eastAsia" w:ascii="宋体" w:hAnsi="宋体" w:cs="宋体"/>
          <w:b/>
          <w:color w:val="auto"/>
          <w:szCs w:val="21"/>
          <w:highlight w:val="none"/>
        </w:rPr>
      </w:pPr>
      <w:bookmarkStart w:id="876" w:name="_Toc351203488"/>
      <w:r>
        <w:rPr>
          <w:rFonts w:hint="eastAsia" w:ascii="宋体" w:hAnsi="宋体" w:cs="宋体"/>
          <w:b/>
          <w:color w:val="auto"/>
          <w:szCs w:val="21"/>
          <w:highlight w:val="none"/>
        </w:rPr>
        <w:t>八、词语含义</w:t>
      </w:r>
      <w:bookmarkEnd w:id="876"/>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pPr>
        <w:spacing w:line="360" w:lineRule="auto"/>
        <w:ind w:firstLine="422" w:firstLineChars="200"/>
        <w:rPr>
          <w:rFonts w:hint="eastAsia" w:ascii="宋体" w:hAnsi="宋体" w:cs="宋体"/>
          <w:b/>
          <w:color w:val="auto"/>
          <w:szCs w:val="21"/>
          <w:highlight w:val="none"/>
        </w:rPr>
      </w:pPr>
      <w:bookmarkStart w:id="877" w:name="_Toc351203489"/>
      <w:r>
        <w:rPr>
          <w:rFonts w:hint="eastAsia" w:ascii="宋体" w:hAnsi="宋体" w:cs="宋体"/>
          <w:b/>
          <w:color w:val="auto"/>
          <w:szCs w:val="21"/>
          <w:highlight w:val="none"/>
        </w:rPr>
        <w:t>九、签订时间</w:t>
      </w:r>
      <w:bookmarkEnd w:id="877"/>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pPr>
        <w:spacing w:line="360" w:lineRule="auto"/>
        <w:ind w:firstLine="422" w:firstLineChars="200"/>
        <w:rPr>
          <w:rFonts w:hint="eastAsia" w:ascii="宋体" w:hAnsi="宋体" w:cs="宋体"/>
          <w:b/>
          <w:color w:val="auto"/>
          <w:szCs w:val="21"/>
          <w:highlight w:val="none"/>
        </w:rPr>
      </w:pPr>
      <w:bookmarkStart w:id="878" w:name="_Toc351203490"/>
      <w:r>
        <w:rPr>
          <w:rFonts w:hint="eastAsia" w:ascii="宋体" w:hAnsi="宋体" w:cs="宋体"/>
          <w:b/>
          <w:color w:val="auto"/>
          <w:szCs w:val="21"/>
          <w:highlight w:val="none"/>
        </w:rPr>
        <w:t>十、签订地点</w:t>
      </w:r>
      <w:bookmarkEnd w:id="878"/>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pPr>
        <w:spacing w:line="360" w:lineRule="auto"/>
        <w:ind w:firstLine="422" w:firstLineChars="200"/>
        <w:rPr>
          <w:rFonts w:hint="eastAsia" w:ascii="宋体" w:hAnsi="宋体" w:cs="宋体"/>
          <w:b/>
          <w:color w:val="auto"/>
          <w:szCs w:val="21"/>
          <w:highlight w:val="none"/>
        </w:rPr>
      </w:pPr>
      <w:bookmarkStart w:id="879" w:name="_Toc351203491"/>
      <w:r>
        <w:rPr>
          <w:rFonts w:hint="eastAsia" w:ascii="宋体" w:hAnsi="宋体" w:cs="宋体"/>
          <w:b/>
          <w:color w:val="auto"/>
          <w:szCs w:val="21"/>
          <w:highlight w:val="none"/>
        </w:rPr>
        <w:t>十一、补充协议</w:t>
      </w:r>
      <w:bookmarkEnd w:id="879"/>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pPr>
        <w:spacing w:line="360" w:lineRule="auto"/>
        <w:ind w:firstLine="422" w:firstLineChars="200"/>
        <w:rPr>
          <w:rFonts w:hint="eastAsia" w:ascii="宋体" w:hAnsi="宋体" w:cs="宋体"/>
          <w:b/>
          <w:color w:val="auto"/>
          <w:szCs w:val="21"/>
          <w:highlight w:val="none"/>
        </w:rPr>
      </w:pPr>
      <w:bookmarkStart w:id="880" w:name="_Toc351203492"/>
      <w:r>
        <w:rPr>
          <w:rFonts w:hint="eastAsia" w:ascii="宋体" w:hAnsi="宋体" w:cs="宋体"/>
          <w:b/>
          <w:color w:val="auto"/>
          <w:szCs w:val="21"/>
          <w:highlight w:val="none"/>
        </w:rPr>
        <w:t>十二、合同生效</w:t>
      </w:r>
      <w:bookmarkEnd w:id="880"/>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pPr>
        <w:spacing w:line="360" w:lineRule="auto"/>
        <w:ind w:firstLine="422" w:firstLineChars="200"/>
        <w:rPr>
          <w:rFonts w:hint="eastAsia" w:ascii="宋体" w:hAnsi="宋体" w:cs="宋体"/>
          <w:b/>
          <w:color w:val="auto"/>
          <w:szCs w:val="21"/>
          <w:highlight w:val="none"/>
        </w:rPr>
      </w:pPr>
      <w:bookmarkStart w:id="881" w:name="_Toc351203493"/>
      <w:r>
        <w:rPr>
          <w:rFonts w:hint="eastAsia" w:ascii="宋体" w:hAnsi="宋体" w:cs="宋体"/>
          <w:b/>
          <w:color w:val="auto"/>
          <w:szCs w:val="21"/>
          <w:highlight w:val="none"/>
        </w:rPr>
        <w:t>十三、合同份数</w:t>
      </w:r>
      <w:bookmarkEnd w:id="881"/>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pPr>
        <w:spacing w:line="360" w:lineRule="auto"/>
        <w:rPr>
          <w:rFonts w:hint="eastAsia" w:ascii="宋体" w:hAnsi="宋体" w:cs="宋体"/>
          <w:bCs/>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u w:val="single"/>
        </w:rPr>
      </w:pPr>
    </w:p>
    <w:p>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67"/>
      <w:bookmarkEnd w:id="868"/>
      <w:bookmarkStart w:id="882" w:name="_Toc15494"/>
      <w:bookmarkStart w:id="883" w:name="_Toc95223460"/>
      <w:bookmarkStart w:id="884"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82"/>
      <w:bookmarkEnd w:id="883"/>
    </w:p>
    <w:p>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采用《建设工程施工合同(示范文本)》（GF-2017-0201）中通用合同条款。上述资料由投标人自行准备。</w:t>
      </w:r>
    </w:p>
    <w:p>
      <w:pPr>
        <w:pStyle w:val="2"/>
        <w:jc w:val="center"/>
        <w:rPr>
          <w:rFonts w:hint="eastAsia" w:ascii="黑体" w:eastAsia="黑体" w:cs="黑体"/>
          <w:color w:val="auto"/>
          <w:highlight w:val="none"/>
        </w:rPr>
      </w:pPr>
      <w:bookmarkStart w:id="885" w:name="_Toc14492"/>
      <w:r>
        <w:rPr>
          <w:rFonts w:hint="eastAsia" w:ascii="黑体" w:eastAsia="黑体" w:cs="黑体"/>
          <w:color w:val="auto"/>
          <w:highlight w:val="none"/>
        </w:rPr>
        <w:t>第三节 专用合同条款</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1.1.2.4</w:t>
      </w:r>
      <w:r>
        <w:rPr>
          <w:rFonts w:hint="eastAsia" w:ascii="宋体" w:cs="宋体"/>
          <w:strike w:val="0"/>
          <w:dstrike w:val="0"/>
          <w:color w:val="auto"/>
          <w:szCs w:val="21"/>
          <w:highlight w:val="none"/>
          <w:lang w:val="en-US" w:eastAsia="zh-CN"/>
        </w:rPr>
        <w:t>发包人</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名    称：</w:t>
      </w:r>
      <w:r>
        <w:rPr>
          <w:rFonts w:hint="eastAsia" w:ascii="宋体" w:cs="宋体"/>
          <w:strike w:val="0"/>
          <w:dstrike w:val="0"/>
          <w:color w:val="auto"/>
          <w:szCs w:val="21"/>
          <w:highlight w:val="none"/>
          <w:u w:val="single"/>
        </w:rPr>
        <w:t xml:space="preserve">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lang w:val="en-US" w:eastAsia="zh-CN"/>
        </w:rPr>
        <w:t>发包人现场联系人</w:t>
      </w:r>
      <w:r>
        <w:rPr>
          <w:rFonts w:hint="eastAsia" w:ascii="宋体" w:cs="宋体"/>
          <w:strike w:val="0"/>
          <w:dstrike w:val="0"/>
          <w:color w:val="auto"/>
          <w:szCs w:val="21"/>
          <w:highlight w:val="none"/>
        </w:rPr>
        <w:t>：</w:t>
      </w:r>
      <w:r>
        <w:rPr>
          <w:rFonts w:hint="eastAsia" w:ascii="宋体" w:cs="宋体"/>
          <w:strike w:val="0"/>
          <w:dstrike w:val="0"/>
          <w:color w:val="auto"/>
          <w:szCs w:val="21"/>
          <w:highlight w:val="none"/>
          <w:u w:val="single"/>
        </w:rPr>
        <w:t>            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联系电话：</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电子信箱：</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通信地址：</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 xml:space="preserve">1.1.2.5 </w:t>
      </w:r>
      <w:r>
        <w:rPr>
          <w:rFonts w:hint="eastAsia" w:ascii="宋体" w:cs="宋体"/>
          <w:strike w:val="0"/>
          <w:dstrike w:val="0"/>
          <w:color w:val="auto"/>
          <w:szCs w:val="21"/>
          <w:highlight w:val="none"/>
          <w:lang w:val="en-US" w:eastAsia="zh-CN"/>
        </w:rPr>
        <w:t>承包人</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u w:val="single"/>
        </w:rPr>
        <w:t>                 </w:t>
      </w:r>
      <w:r>
        <w:rPr>
          <w:rFonts w:hint="eastAsia" w:ascii="宋体" w:cs="宋体"/>
          <w:color w:val="auto"/>
          <w:szCs w:val="21"/>
          <w:highlight w:val="none"/>
        </w:rPr>
        <w:t>；</w:t>
      </w:r>
      <w:r>
        <w:rPr>
          <w:rFonts w:hint="eastAsia" w:ascii="宋体" w:cs="宋体"/>
          <w:color w:val="auto"/>
          <w:szCs w:val="21"/>
          <w:highlight w:val="none"/>
          <w:lang w:eastAsia="zh-CN"/>
        </w:rPr>
        <w:t>、</w:t>
      </w:r>
    </w:p>
    <w:p>
      <w:pPr>
        <w:snapToGrid w:val="0"/>
        <w:spacing w:line="440" w:lineRule="exact"/>
        <w:ind w:firstLine="420" w:firstLineChars="200"/>
        <w:rPr>
          <w:rFonts w:hint="eastAsia"/>
          <w:color w:val="auto"/>
          <w:highlight w:val="none"/>
          <w:lang w:val="en-US"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rPr>
        <w:t>资质类别和等级：</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pPr>
        <w:pStyle w:val="14"/>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pPr>
        <w:pStyle w:val="14"/>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pPr>
        <w:snapToGrid w:val="0"/>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1.6.4 承包人文件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 xml:space="preserve">通知书前）、项目部任命文、实施性施工组织设计等  </w:t>
      </w:r>
      <w:r>
        <w:rPr>
          <w:rFonts w:hint="eastAsia" w:ascii="宋体" w:cs="宋体"/>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承包人提供的文件的期限为：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进场前7日内</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承包人提供的文件的数量为：</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u w:val="single"/>
          <w:lang w:val="en-US" w:eastAsia="zh-CN"/>
        </w:rPr>
        <w:t>一份</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承包人提供的文件的形式为：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电子版及纸质版</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安徽巢东矿业高新材料有限责任公司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安徽巢东矿业高新材料有限责任公司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场内交通边界现场确定</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不调整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w:t>
      </w:r>
      <w:r>
        <w:rPr>
          <w:rFonts w:hint="eastAsia" w:ascii="宋体" w:hAnsi="宋体" w:cs="宋体"/>
          <w:b/>
          <w:bCs/>
          <w:color w:val="auto"/>
          <w:szCs w:val="21"/>
          <w:highlight w:val="none"/>
          <w:u w:val="single"/>
        </w:rPr>
        <w:t>。</w:t>
      </w:r>
    </w:p>
    <w:p>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不调整</w:t>
      </w:r>
      <w:r>
        <w:rPr>
          <w:rFonts w:hint="eastAsia" w:ascii="宋体" w:hAnsi="宋体" w:cs="宋体"/>
          <w:b/>
          <w:color w:val="auto"/>
          <w:szCs w:val="21"/>
          <w:highlight w:val="none"/>
          <w:u w:val="single"/>
        </w:rPr>
        <w:t>。</w:t>
      </w:r>
    </w:p>
    <w:p>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不调整。</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pPr>
        <w:numPr>
          <w:ilvl w:val="0"/>
          <w:numId w:val="7"/>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发包人将组织对项目经理进行业务能力考核，对未按响应文件配备或经考核不合格要求更换人员的，承包人7日内必须整改调整到位。否则，对于项目经理和技术负责人，按照5000元/人•天处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违约金，对于施工现场其他管理人员按照1000元/人•天处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违约金。28日内未整改调整到位的，发包人有权终止合同，并提请相关行政主管部门对企业和人员进行“黑名单”处罚。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3.3.5承包人擅自更换主要施工管理人员的违约责任：按照</w:t>
      </w:r>
      <w:r>
        <w:rPr>
          <w:rFonts w:hint="eastAsia" w:ascii="宋体" w:cs="宋体"/>
          <w:color w:val="auto"/>
          <w:szCs w:val="21"/>
          <w:highlight w:val="none"/>
          <w:u w:val="single"/>
        </w:rPr>
        <w:t>未按规定在岗履责进行处罚。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按照相关法律法规执行</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承包人不得以劳务分包的名义转包或违法分包工程。</w:t>
      </w:r>
      <w:r>
        <w:rPr>
          <w:rFonts w:hint="eastAsia" w:ascii="宋体" w:hAnsi="宋体" w:cs="宋体"/>
          <w:b/>
          <w:bCs/>
          <w:color w:val="auto"/>
          <w:szCs w:val="21"/>
          <w:highlight w:val="none"/>
          <w:u w:val="single"/>
        </w:rPr>
        <w:t>发包人在施工进场第一个月或施工过程中发现承包人转包、挂靠等行为的，发包人立即解除合同，清退出场，承包人已完合格工程量按合同价款60%进行结算。</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履约数额：</w:t>
      </w:r>
      <w:r>
        <w:rPr>
          <w:rFonts w:hint="eastAsia" w:ascii="宋体" w:hAnsi="Times New Roman" w:eastAsia="宋体" w:cs="宋体"/>
          <w:color w:val="auto"/>
          <w:szCs w:val="21"/>
          <w:highlight w:val="none"/>
          <w:lang w:val="en-US" w:eastAsia="zh-CN"/>
        </w:rPr>
        <w:t>合同价*2%</w:t>
      </w:r>
      <w:r>
        <w:rPr>
          <w:rFonts w:hint="eastAsia" w:ascii="宋体" w:hAnsi="Times New Roman" w:eastAsia="宋体" w:cs="宋体"/>
          <w:color w:val="auto"/>
          <w:szCs w:val="21"/>
          <w:highlight w:val="none"/>
        </w:rPr>
        <w:t>；</w:t>
      </w:r>
    </w:p>
    <w:p>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形式：银行</w:t>
      </w:r>
      <w:r>
        <w:rPr>
          <w:rFonts w:hint="eastAsia" w:ascii="宋体" w:hAnsi="Times New Roman" w:eastAsia="宋体" w:cs="宋体"/>
          <w:color w:val="auto"/>
          <w:szCs w:val="21"/>
          <w:highlight w:val="none"/>
          <w:lang w:val="en-US" w:eastAsia="zh-CN"/>
        </w:rPr>
        <w:t>转账</w:t>
      </w:r>
      <w:r>
        <w:rPr>
          <w:rFonts w:hint="eastAsia" w:ascii="宋体" w:hAnsi="Times New Roman" w:eastAsia="宋体" w:cs="宋体"/>
          <w:color w:val="auto"/>
          <w:szCs w:val="21"/>
          <w:highlight w:val="none"/>
        </w:rPr>
        <w:t>等现金形式或银行保函</w:t>
      </w:r>
    </w:p>
    <w:p>
      <w:pPr>
        <w:tabs>
          <w:tab w:val="left" w:pos="7740"/>
        </w:tabs>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具体要求详见投标人须知前附表</w:t>
      </w:r>
    </w:p>
    <w:p>
      <w:pPr>
        <w:tabs>
          <w:tab w:val="left" w:pos="7740"/>
        </w:tabs>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 xml:space="preserve">4. </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lang w:val="en-US" w:eastAsia="zh-CN"/>
        </w:rPr>
        <w:t>本项目不采用</w:t>
      </w:r>
      <w:r>
        <w:rPr>
          <w:rFonts w:hint="eastAsia" w:ascii="宋体" w:cs="宋体"/>
          <w:strike w:val="0"/>
          <w:dstrike w:val="0"/>
          <w:color w:val="auto"/>
          <w:szCs w:val="21"/>
          <w:highlight w:val="none"/>
          <w:lang w:eastAsia="zh-CN"/>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eastAsia="zh-CN"/>
        </w:rPr>
        <w:t>发包人</w:t>
      </w:r>
      <w:r>
        <w:rPr>
          <w:rFonts w:hint="eastAsia" w:ascii="宋体" w:cs="宋体"/>
          <w:color w:val="auto"/>
          <w:szCs w:val="21"/>
          <w:highlight w:val="none"/>
        </w:rPr>
        <w:t>隐蔽工程检查的期限的约定：工程隐蔽部位经承包人自检确认具备覆盖条件的，承包人应在共同检查前6小时书面通知</w:t>
      </w:r>
      <w:r>
        <w:rPr>
          <w:rFonts w:hint="eastAsia" w:ascii="宋体" w:cs="宋体"/>
          <w:color w:val="auto"/>
          <w:szCs w:val="21"/>
          <w:highlight w:val="none"/>
          <w:lang w:eastAsia="zh-CN"/>
        </w:rPr>
        <w:t>发包人</w:t>
      </w:r>
      <w:r>
        <w:rPr>
          <w:rFonts w:hint="eastAsia" w:ascii="宋体" w:cs="宋体"/>
          <w:color w:val="auto"/>
          <w:szCs w:val="21"/>
          <w:highlight w:val="none"/>
        </w:rPr>
        <w:t>检查，通知中应载明隐蔽检查的内容、时间和地点，并应附有自检记录和必要的检查资料。</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应按时到场并对隐蔽工程及其施工工艺、材料和工程设备进行检查。经</w:t>
      </w:r>
      <w:r>
        <w:rPr>
          <w:rFonts w:hint="eastAsia" w:ascii="宋体" w:cs="宋体"/>
          <w:color w:val="auto"/>
          <w:szCs w:val="21"/>
          <w:highlight w:val="none"/>
          <w:lang w:eastAsia="zh-CN"/>
        </w:rPr>
        <w:t>发包人</w:t>
      </w:r>
      <w:r>
        <w:rPr>
          <w:rFonts w:hint="eastAsia" w:ascii="宋体" w:cs="宋体"/>
          <w:color w:val="auto"/>
          <w:szCs w:val="21"/>
          <w:highlight w:val="none"/>
        </w:rPr>
        <w:t>检查确认质量符合隐蔽要求，并在验收记录上签字后，承包人才能进行覆盖。经</w:t>
      </w:r>
      <w:r>
        <w:rPr>
          <w:rFonts w:hint="eastAsia" w:ascii="宋体" w:cs="宋体"/>
          <w:color w:val="auto"/>
          <w:szCs w:val="21"/>
          <w:highlight w:val="none"/>
          <w:lang w:eastAsia="zh-CN"/>
        </w:rPr>
        <w:t>发包人</w:t>
      </w:r>
      <w:r>
        <w:rPr>
          <w:rFonts w:hint="eastAsia" w:ascii="宋体" w:cs="宋体"/>
          <w:color w:val="auto"/>
          <w:szCs w:val="21"/>
          <w:highlight w:val="none"/>
        </w:rPr>
        <w:t>检查质量不合格的，承包人应在</w:t>
      </w:r>
      <w:r>
        <w:rPr>
          <w:rFonts w:hint="eastAsia" w:ascii="宋体" w:cs="宋体"/>
          <w:color w:val="auto"/>
          <w:szCs w:val="21"/>
          <w:highlight w:val="none"/>
          <w:lang w:eastAsia="zh-CN"/>
        </w:rPr>
        <w:t>发包人</w:t>
      </w:r>
      <w:r>
        <w:rPr>
          <w:rFonts w:hint="eastAsia" w:ascii="宋体" w:cs="宋体"/>
          <w:color w:val="auto"/>
          <w:szCs w:val="21"/>
          <w:highlight w:val="none"/>
        </w:rPr>
        <w:t>指示的时间内完成修复，并由</w:t>
      </w:r>
      <w:r>
        <w:rPr>
          <w:rFonts w:hint="eastAsia" w:ascii="宋体" w:cs="宋体"/>
          <w:color w:val="auto"/>
          <w:szCs w:val="21"/>
          <w:highlight w:val="none"/>
          <w:lang w:eastAsia="zh-CN"/>
        </w:rPr>
        <w:t>发包人</w:t>
      </w:r>
      <w:r>
        <w:rPr>
          <w:rFonts w:hint="eastAsia" w:ascii="宋体" w:cs="宋体"/>
          <w:color w:val="auto"/>
          <w:szCs w:val="21"/>
          <w:highlight w:val="none"/>
        </w:rPr>
        <w:t>重新检查，由此增加的费用和（或）延误的工期由承包人承担。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不能按时进行检查的，应在检查前3小时向承包人提交书面延期要求，但延期不能超过6小时，由此导致工期延误的，工期应予以顺延。</w:t>
      </w:r>
      <w:r>
        <w:rPr>
          <w:rFonts w:hint="eastAsia" w:ascii="宋体" w:cs="宋体"/>
          <w:color w:val="auto"/>
          <w:szCs w:val="21"/>
          <w:highlight w:val="none"/>
          <w:lang w:eastAsia="zh-CN"/>
        </w:rPr>
        <w:t>发包人</w:t>
      </w:r>
      <w:r>
        <w:rPr>
          <w:rFonts w:hint="eastAsia" w:ascii="宋体" w:cs="宋体"/>
          <w:color w:val="auto"/>
          <w:szCs w:val="21"/>
          <w:highlight w:val="none"/>
        </w:rPr>
        <w:t>未按时进行检查，也未提出延期要求的，视为隐蔽工程检查合格，承包人可自行完成覆盖工作，并作相应记录报送</w:t>
      </w:r>
      <w:r>
        <w:rPr>
          <w:rFonts w:hint="eastAsia" w:ascii="宋体" w:cs="宋体"/>
          <w:color w:val="auto"/>
          <w:szCs w:val="21"/>
          <w:highlight w:val="none"/>
          <w:lang w:eastAsia="zh-CN"/>
        </w:rPr>
        <w:t>发包人</w:t>
      </w:r>
      <w:r>
        <w:rPr>
          <w:rFonts w:hint="eastAsia" w:ascii="宋体" w:cs="宋体"/>
          <w:color w:val="auto"/>
          <w:szCs w:val="21"/>
          <w:highlight w:val="none"/>
        </w:rPr>
        <w:t>，</w:t>
      </w:r>
      <w:r>
        <w:rPr>
          <w:rFonts w:hint="eastAsia" w:ascii="宋体" w:cs="宋体"/>
          <w:color w:val="auto"/>
          <w:szCs w:val="21"/>
          <w:highlight w:val="none"/>
          <w:lang w:eastAsia="zh-CN"/>
        </w:rPr>
        <w:t>发包人</w:t>
      </w:r>
      <w:r>
        <w:rPr>
          <w:rFonts w:hint="eastAsia" w:ascii="宋体" w:cs="宋体"/>
          <w:color w:val="auto"/>
          <w:szCs w:val="21"/>
          <w:highlight w:val="none"/>
        </w:rPr>
        <w:t>应签字确认。</w:t>
      </w:r>
      <w:r>
        <w:rPr>
          <w:rFonts w:hint="eastAsia" w:ascii="宋体" w:cs="宋体"/>
          <w:color w:val="auto"/>
          <w:szCs w:val="21"/>
          <w:highlight w:val="none"/>
          <w:lang w:eastAsia="zh-CN"/>
        </w:rPr>
        <w:t>发包人</w:t>
      </w:r>
      <w:r>
        <w:rPr>
          <w:rFonts w:hint="eastAsia" w:ascii="宋体" w:cs="宋体"/>
          <w:color w:val="auto"/>
          <w:szCs w:val="21"/>
          <w:highlight w:val="none"/>
        </w:rPr>
        <w:t>事后对检查记录有疑问的，可按第5.3.3项〔重新检查〕的约定重新检查。</w:t>
      </w:r>
    </w:p>
    <w:p>
      <w:pPr>
        <w:pStyle w:val="5"/>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w:t>
      </w:r>
      <w:r>
        <w:rPr>
          <w:rFonts w:hint="eastAsia" w:ascii="宋体" w:cs="宋体"/>
          <w:color w:val="auto"/>
          <w:szCs w:val="21"/>
          <w:highlight w:val="none"/>
          <w:lang w:eastAsia="zh-CN"/>
        </w:rPr>
        <w:t>发包人</w:t>
      </w:r>
      <w:r>
        <w:rPr>
          <w:rFonts w:hint="eastAsia" w:ascii="宋体" w:cs="宋体"/>
          <w:color w:val="auto"/>
          <w:szCs w:val="21"/>
          <w:highlight w:val="none"/>
        </w:rPr>
        <w:t>在收到详细的施工组织设计后确认或提出修改意见的期限：</w:t>
      </w:r>
      <w:r>
        <w:rPr>
          <w:rFonts w:hint="eastAsia" w:ascii="宋体" w:cs="宋体"/>
          <w:color w:val="auto"/>
          <w:szCs w:val="21"/>
          <w:highlight w:val="none"/>
          <w:u w:val="single"/>
        </w:rPr>
        <w:t>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收到施工组织设计后7天内确认或提出修改意见。对发包人和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提交修改后的施工组织设计。</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pPr>
        <w:snapToGrid w:val="0"/>
        <w:spacing w:line="440" w:lineRule="exact"/>
        <w:ind w:firstLine="420" w:firstLineChars="200"/>
        <w:jc w:val="left"/>
        <w:rPr>
          <w:rFonts w:hint="default" w:ascii="宋体" w:cs="宋体"/>
          <w:color w:val="auto"/>
          <w:szCs w:val="21"/>
          <w:highlight w:val="none"/>
          <w:u w:val="single"/>
          <w:lang w:val="en-US"/>
        </w:rPr>
      </w:pPr>
      <w:r>
        <w:rPr>
          <w:rFonts w:hint="eastAsia" w:ascii="宋体" w:cs="宋体"/>
          <w:color w:val="auto"/>
          <w:szCs w:val="21"/>
          <w:highlight w:val="none"/>
          <w:lang w:eastAsia="zh-CN"/>
        </w:rPr>
        <w:t>发包人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lang w:val="en-US" w:eastAsia="zh-CN"/>
        </w:rPr>
        <w:t>确定施工计划后除发包人要求，不得更改。</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提交工程开工报审表，经</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报发包人批准后执行。开工报审表应详细说明按施工进度计划正常施工所需的施工道路、临时设施、材料、工程设备、施工设备、施工人员等落实情况以及工程的进度安排。</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7.3.2开工通知</w:t>
      </w:r>
    </w:p>
    <w:p>
      <w:pPr>
        <w:snapToGrid w:val="0"/>
        <w:spacing w:line="440" w:lineRule="exact"/>
        <w:ind w:firstLine="420" w:firstLineChars="200"/>
        <w:jc w:val="left"/>
        <w:rPr>
          <w:rFonts w:hint="default" w:ascii="宋体" w:eastAsia="宋体" w:cs="宋体"/>
          <w:strike w:val="0"/>
          <w:dstrike w:val="0"/>
          <w:color w:val="auto"/>
          <w:szCs w:val="21"/>
          <w:highlight w:val="none"/>
          <w:lang w:val="en-US" w:eastAsia="zh-CN"/>
        </w:rPr>
      </w:pPr>
      <w:r>
        <w:rPr>
          <w:rFonts w:hint="eastAsia" w:ascii="宋体" w:cs="宋体"/>
          <w:strike w:val="0"/>
          <w:dstrike w:val="0"/>
          <w:color w:val="auto"/>
          <w:szCs w:val="21"/>
          <w:highlight w:val="none"/>
          <w:lang w:val="en-US" w:eastAsia="zh-CN"/>
        </w:rPr>
        <w:t>由发包人发出。</w:t>
      </w:r>
    </w:p>
    <w:p>
      <w:pPr>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7.4 测量放线</w:t>
      </w:r>
      <w:r>
        <w:rPr>
          <w:rFonts w:hint="eastAsia" w:ascii="宋体" w:cs="宋体"/>
          <w:strike w:val="0"/>
          <w:dstrike w:val="0"/>
          <w:color w:val="auto"/>
          <w:szCs w:val="21"/>
          <w:highlight w:val="none"/>
          <w:lang w:eastAsia="zh-CN"/>
        </w:rPr>
        <w:t>（</w:t>
      </w:r>
      <w:r>
        <w:rPr>
          <w:rFonts w:hint="eastAsia" w:ascii="宋体" w:cs="宋体"/>
          <w:strike w:val="0"/>
          <w:dstrike w:val="0"/>
          <w:color w:val="auto"/>
          <w:szCs w:val="21"/>
          <w:highlight w:val="none"/>
          <w:lang w:val="en-US" w:eastAsia="zh-CN"/>
        </w:rPr>
        <w:t>本项目不采用</w:t>
      </w:r>
      <w:r>
        <w:rPr>
          <w:rFonts w:hint="eastAsia" w:ascii="宋体" w:cs="宋体"/>
          <w:strike w:val="0"/>
          <w:dstrike w:val="0"/>
          <w:color w:val="auto"/>
          <w:szCs w:val="21"/>
          <w:highlight w:val="none"/>
          <w:lang w:eastAsia="zh-CN"/>
        </w:rPr>
        <w:t>）</w:t>
      </w:r>
    </w:p>
    <w:p>
      <w:pPr>
        <w:snapToGrid w:val="0"/>
        <w:spacing w:line="440" w:lineRule="exact"/>
        <w:ind w:firstLine="420" w:firstLineChars="200"/>
        <w:jc w:val="left"/>
        <w:rPr>
          <w:rFonts w:hint="eastAsia" w:ascii="宋体" w:hAnsi="宋体" w:eastAsia="宋体" w:cs="宋体"/>
          <w:strike w:val="0"/>
          <w:dstrike w:val="0"/>
          <w:color w:val="auto"/>
          <w:highlight w:val="none"/>
          <w:lang w:eastAsia="zh-CN"/>
        </w:rPr>
      </w:pPr>
      <w:r>
        <w:rPr>
          <w:rFonts w:hint="eastAsia" w:ascii="宋体" w:cs="宋体"/>
          <w:strike w:val="0"/>
          <w:dstrike w:val="0"/>
          <w:color w:val="auto"/>
          <w:szCs w:val="21"/>
          <w:highlight w:val="none"/>
        </w:rPr>
        <w:t>7.4.1发包人通过</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rPr>
        <w:t>向承包人提供测量基准点、基准线和水准点及其书面资料的期限：</w:t>
      </w:r>
      <w:r>
        <w:rPr>
          <w:rFonts w:hint="eastAsia" w:ascii="宋体" w:cs="宋体"/>
          <w:strike w:val="0"/>
          <w:dstrike w:val="0"/>
          <w:color w:val="auto"/>
          <w:szCs w:val="21"/>
          <w:highlight w:val="none"/>
          <w:u w:val="single"/>
        </w:rPr>
        <w:t xml:space="preserve"> </w:t>
      </w:r>
      <w:r>
        <w:rPr>
          <w:rFonts w:hint="eastAsia" w:ascii="宋体" w:hAnsi="宋体" w:cs="宋体"/>
          <w:strike w:val="0"/>
          <w:dstrike w:val="0"/>
          <w:color w:val="auto"/>
          <w:highlight w:val="none"/>
          <w:u w:val="single"/>
          <w:lang w:val="en-US" w:eastAsia="zh-CN"/>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7.5 工期延误</w:t>
      </w:r>
    </w:p>
    <w:p>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7.5.1 因发包人原因导致工期延误</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w:t>
      </w:r>
      <w:r>
        <w:rPr>
          <w:rFonts w:hint="eastAsia"/>
          <w:color w:val="auto"/>
          <w:highlight w:val="none"/>
          <w:u w:val="single"/>
          <w:lang w:val="en-US" w:eastAsia="zh-CN"/>
        </w:rPr>
        <w:t>处以1000</w:t>
      </w:r>
      <w:r>
        <w:rPr>
          <w:rFonts w:hint="eastAsia"/>
          <w:color w:val="auto"/>
          <w:highlight w:val="none"/>
          <w:u w:val="single"/>
        </w:rPr>
        <w:t>元</w:t>
      </w:r>
      <w:r>
        <w:rPr>
          <w:rFonts w:hint="eastAsia"/>
          <w:color w:val="auto"/>
          <w:highlight w:val="none"/>
          <w:u w:val="single"/>
          <w:lang w:val="en-US" w:eastAsia="zh-CN"/>
        </w:rPr>
        <w:t>违约金</w:t>
      </w:r>
      <w:r>
        <w:rPr>
          <w:rFonts w:hint="eastAsia"/>
          <w:color w:val="auto"/>
          <w:highlight w:val="none"/>
          <w:u w:val="single"/>
        </w:rPr>
        <w:t>；月工程量未完成的当期不得请款，当月未完成的工程量纳入下月一并完成，完不成的仍不予请款，依此类推。连续两个月工程量未完成的立即限制承包人一年内不得参与发包人项目投标。</w:t>
      </w:r>
    </w:p>
    <w:p>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pPr>
        <w:pStyle w:val="14"/>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（3）对严重拖延工期，经发包人多次督促，承包人拒不执行的，发包人可中止施工合同，并和承包人进行清算。同时按原中</w:t>
      </w:r>
      <w:r>
        <w:rPr>
          <w:rFonts w:hint="eastAsia" w:ascii="宋体" w:hAnsi="Times New Roman" w:eastAsia="宋体" w:cs="宋体"/>
          <w:bCs/>
          <w:color w:val="auto"/>
          <w:szCs w:val="21"/>
          <w:highlight w:val="none"/>
          <w:u w:val="single"/>
          <w:lang w:val="en-US" w:eastAsia="zh-CN"/>
        </w:rPr>
        <w:t>标</w:t>
      </w:r>
      <w:r>
        <w:rPr>
          <w:rFonts w:hint="eastAsia" w:ascii="宋体" w:hAnsi="Times New Roman" w:eastAsia="宋体" w:cs="宋体"/>
          <w:bCs/>
          <w:color w:val="auto"/>
          <w:szCs w:val="21"/>
          <w:highlight w:val="none"/>
          <w:u w:val="single"/>
        </w:rPr>
        <w:t xml:space="preserve">价格另选同样资质的施工队伍进场施工，原承包人须无条件配合，不得以任何借口阻挠另选的施工队伍施工，不得向发包人提出任何索赔要求，详见补充条款。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pPr>
        <w:numPr>
          <w:ilvl w:val="0"/>
          <w:numId w:val="8"/>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numPr>
          <w:ilvl w:val="0"/>
          <w:numId w:val="8"/>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numPr>
          <w:ilvl w:val="0"/>
          <w:numId w:val="8"/>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pPr>
        <w:pStyle w:val="14"/>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rPr>
        <w:t xml:space="preserve"> </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 xml:space="preserve">指示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限价单价×响应让利幅度计算，组价明显错误的予以纠正；</w:t>
      </w:r>
      <w:r>
        <w:rPr>
          <w:rFonts w:ascii="宋体" w:hAnsi="宋体" w:cs="宋体"/>
          <w:b/>
          <w:bCs/>
          <w:color w:val="auto"/>
          <w:szCs w:val="21"/>
          <w:highlight w:val="none"/>
          <w:u w:val="single"/>
        </w:rPr>
        <w:t>已标价工程量清单或预算书中无相同项目及类似项目单价的</w:t>
      </w:r>
      <w:r>
        <w:rPr>
          <w:rFonts w:hint="eastAsia" w:ascii="宋体" w:hAnsi="宋体" w:cs="宋体"/>
          <w:b/>
          <w:bCs/>
          <w:color w:val="auto"/>
          <w:szCs w:val="21"/>
          <w:highlight w:val="none"/>
          <w:u w:val="single"/>
        </w:rPr>
        <w:t>新增项目单价按照最高限价的编制原则重新组价×响应让利幅度（上述响应让利幅度为中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价/最高限价，其中中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价和最高限价均扣除暂列金额、暂估价及相应税金），结算价格最终以相关部门审核价为准；</w:t>
      </w:r>
    </w:p>
    <w:p>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不调整</w:t>
      </w:r>
      <w:r>
        <w:rPr>
          <w:rFonts w:hint="eastAsia" w:ascii="宋体" w:hAnsi="宋体" w:cs="宋体"/>
          <w:b/>
          <w:color w:val="auto"/>
          <w:szCs w:val="21"/>
          <w:highlight w:val="none"/>
          <w:u w:val="single"/>
        </w:rPr>
        <w:t>。</w:t>
      </w:r>
    </w:p>
    <w:p>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不调整</w:t>
      </w:r>
      <w:r>
        <w:rPr>
          <w:rFonts w:hint="eastAsia" w:ascii="宋体" w:hAnsi="宋体" w:cs="宋体"/>
          <w:b/>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报送的合理化建议后7天内审批完毕。合理化建议经发包人批准的，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应书面通知承包人。</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lang w:val="en-US" w:eastAsia="zh-CN"/>
        </w:rPr>
        <w:t>无</w:t>
      </w:r>
      <w:r>
        <w:rPr>
          <w:rFonts w:hint="eastAsia"/>
          <w:color w:val="auto"/>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pPr>
        <w:pStyle w:val="14"/>
        <w:spacing w:after="0" w:line="440" w:lineRule="exact"/>
        <w:ind w:left="0" w:leftChars="0"/>
        <w:rPr>
          <w:rFonts w:hint="eastAsia"/>
          <w:color w:val="auto"/>
          <w:highlight w:val="none"/>
        </w:rPr>
      </w:pPr>
      <w:r>
        <w:rPr>
          <w:rFonts w:hint="eastAsia"/>
          <w:color w:val="auto"/>
          <w:highlight w:val="none"/>
        </w:rPr>
        <w:t>第3种方式：承包人直接实施的暂估价项目</w:t>
      </w:r>
    </w:p>
    <w:p>
      <w:pPr>
        <w:pStyle w:val="14"/>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3  </w:t>
      </w:r>
      <w:r>
        <w:rPr>
          <w:rFonts w:hint="eastAsia" w:ascii="宋体" w:cs="宋体"/>
          <w:color w:val="auto"/>
          <w:szCs w:val="21"/>
          <w:highlight w:val="none"/>
        </w:rPr>
        <w:t>种方式对合同价格进行调整：</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rPr>
        <w:t>不调整</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rPr>
        <w:t>各种因素引起的不属于本合同调价范围的市场材料价格、人工、机械使用费以及管理费、利润的变化等</w:t>
      </w:r>
      <w:r>
        <w:rPr>
          <w:rFonts w:hint="eastAsia" w:ascii="宋体" w:cs="宋体"/>
          <w:b/>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rPr>
        <w:t xml:space="preserve">结算价=合同价±工程变更造价±政策性调整造价－暂列金额×1.09± 合理工程索赔。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pPr>
        <w:snapToGrid w:val="0"/>
        <w:spacing w:line="440" w:lineRule="exact"/>
        <w:ind w:firstLine="420" w:firstLineChars="200"/>
        <w:jc w:val="left"/>
        <w:rPr>
          <w:rFonts w:hint="eastAsia" w:ascii="宋体" w:eastAsia="宋体" w:cs="宋体"/>
          <w:color w:val="auto"/>
          <w:szCs w:val="21"/>
          <w:highlight w:val="none"/>
          <w:lang w:val="en-US" w:eastAsia="zh-CN"/>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关于单价合同计量的约定：</w:t>
      </w:r>
      <w:r>
        <w:rPr>
          <w:rFonts w:hint="eastAsia" w:ascii="宋体" w:cs="宋体"/>
          <w:color w:val="auto"/>
          <w:szCs w:val="21"/>
          <w:highlight w:val="none"/>
          <w:u w:val="single"/>
          <w:lang w:val="en-US" w:eastAsia="zh-CN"/>
        </w:rPr>
        <w:t>按进度计量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施工完成并通过</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审核无误，设备调试运行正常后支付合同总价的60%。项目竣工验收并经</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委托的跟踪审计单位出具审定意见书，并由</w:t>
      </w:r>
      <w:r>
        <w:rPr>
          <w:rFonts w:hint="eastAsia" w:ascii="宋体" w:cs="宋体"/>
          <w:color w:val="auto"/>
          <w:szCs w:val="21"/>
          <w:highlight w:val="none"/>
          <w:u w:val="single"/>
          <w:lang w:val="en-US" w:eastAsia="zh-CN"/>
        </w:rPr>
        <w:t>承包</w:t>
      </w:r>
      <w:r>
        <w:rPr>
          <w:rFonts w:hint="eastAsia" w:ascii="宋体" w:cs="宋体"/>
          <w:color w:val="auto"/>
          <w:szCs w:val="21"/>
          <w:highlight w:val="none"/>
          <w:u w:val="single"/>
        </w:rPr>
        <w:t xml:space="preserve">人提交合规的发票后，支付至审定价款的95%，剩余5%作为质量保证金在工程缺陷责任期（缺陷责任期2年，从竣工验收合格之日起计算）满后一个月内付清。（采用工程质量保证担保、工程质量保险等其他保证方式的，发包人不再预留质量保证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无</w:t>
      </w:r>
      <w:r>
        <w:rPr>
          <w:rFonts w:hint="eastAsia" w:ascii="黑体" w:eastAsia="黑体" w:cs="宋体"/>
          <w:b/>
          <w:bCs/>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12.4.4 进度款审核和支付</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发包人审核无误后支付。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2、总价合同支付分解表的编制与审批：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3、单价合同的总价项目支付分解表的编制与审批：</w:t>
      </w:r>
      <w:r>
        <w:rPr>
          <w:rFonts w:hint="eastAsia" w:ascii="宋体" w:cs="宋体"/>
          <w:color w:val="auto"/>
          <w:szCs w:val="21"/>
          <w:highlight w:val="none"/>
          <w:u w:val="single"/>
        </w:rPr>
        <w:t>执行发包人统一内容格式。</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eastAsia="zh-CN"/>
        </w:rPr>
        <w:t>发包人</w:t>
      </w:r>
      <w:r>
        <w:rPr>
          <w:rFonts w:hint="eastAsia" w:ascii="宋体" w:cs="宋体"/>
          <w:color w:val="auto"/>
          <w:szCs w:val="21"/>
          <w:highlight w:val="none"/>
        </w:rPr>
        <w:t>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10000元/月的违约金。情节严重的，项目单位有权按已有资料或按已付款报相关部门办理结算。</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发包人发票送达一周内完成支付 </w:t>
      </w:r>
      <w:r>
        <w:rPr>
          <w:rFonts w:hint="eastAsia" w:ascii="宋体" w:cs="宋体"/>
          <w:color w:val="auto"/>
          <w:szCs w:val="21"/>
          <w:highlight w:val="none"/>
        </w:rPr>
        <w:t>。</w:t>
      </w:r>
      <w:r>
        <w:rPr>
          <w:rFonts w:hint="eastAsia" w:ascii="宋体" w:cs="宋体"/>
          <w:color w:val="auto"/>
          <w:szCs w:val="21"/>
          <w:highlight w:val="none"/>
          <w:u w:val="single"/>
        </w:rPr>
        <w:t xml:space="preserve"> </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自竣工验收合格之日起24个月（详见付款方式）</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（1）质量保证金保函，保证金额为：</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 xml:space="preserve">； </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5</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发包人可动用质保金，用于工程质量整改，同时限制承包人一年内不得参与我单位项目投标。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     </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w:t>
      </w:r>
      <w:r>
        <w:rPr>
          <w:rFonts w:hint="eastAsia" w:ascii="宋体" w:cs="宋体"/>
          <w:color w:val="auto"/>
          <w:szCs w:val="21"/>
          <w:highlight w:val="none"/>
          <w:u w:val="single"/>
        </w:rPr>
        <w:t>。</w:t>
      </w:r>
    </w:p>
    <w:p>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rPr>
        <w:t>发票送达一周内</w:t>
      </w:r>
      <w:r>
        <w:rPr>
          <w:rFonts w:hint="eastAsia" w:ascii="宋体" w:cs="宋体"/>
          <w:color w:val="auto"/>
          <w:szCs w:val="21"/>
          <w:highlight w:val="none"/>
        </w:rPr>
        <w:t>完成款项的支付。</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；承包人变更除工伤保险之外的保险合同时，应事先征得发包人同意，并通知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pPr>
        <w:keepNext w:val="0"/>
        <w:keepLines w:val="0"/>
        <w:pageBreakBefore w:val="0"/>
        <w:widowControl w:val="0"/>
        <w:numPr>
          <w:ilvl w:val="0"/>
          <w:numId w:val="9"/>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pPr>
        <w:keepNext w:val="0"/>
        <w:keepLines w:val="0"/>
        <w:pageBreakBefore w:val="0"/>
        <w:widowControl w:val="0"/>
        <w:numPr>
          <w:ilvl w:val="0"/>
          <w:numId w:val="9"/>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bookmarkStart w:id="886" w:name="_Toc95223485"/>
      <w:r>
        <w:rPr>
          <w:rFonts w:hint="eastAsia" w:ascii="宋体" w:eastAsia="宋体" w:cs="宋体"/>
          <w:b w:val="0"/>
          <w:color w:val="auto"/>
          <w:sz w:val="21"/>
          <w:szCs w:val="21"/>
          <w:highlight w:val="none"/>
        </w:rPr>
        <w:t>21. 补充条款</w:t>
      </w:r>
      <w:bookmarkEnd w:id="886"/>
      <w:r>
        <w:rPr>
          <w:rFonts w:hint="eastAsia" w:ascii="宋体" w:eastAsia="宋体" w:cs="宋体"/>
          <w:b w:val="0"/>
          <w:color w:val="auto"/>
          <w:sz w:val="21"/>
          <w:szCs w:val="21"/>
          <w:highlight w:val="none"/>
          <w:lang w:eastAsia="zh-CN"/>
        </w:rPr>
        <w:t>：/</w:t>
      </w:r>
      <w:r>
        <w:rPr>
          <w:rFonts w:hint="eastAsia" w:ascii="宋体" w:eastAsia="宋体" w:cs="宋体"/>
          <w:b w:val="0"/>
          <w:color w:val="auto"/>
          <w:sz w:val="21"/>
          <w:szCs w:val="21"/>
          <w:highlight w:val="non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发包人：  (公章)                           承包人：  (公章)</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法定代表人或其委托代理人：                 法定代表人或其委托代理人：</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（签字）                                  （签字）</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bookmarkEnd w:id="857"/>
    <w:bookmarkEnd w:id="858"/>
    <w:bookmarkEnd w:id="859"/>
    <w:bookmarkEnd w:id="860"/>
    <w:bookmarkEnd w:id="884"/>
    <w:bookmarkEnd w:id="885"/>
    <w:p>
      <w:pPr>
        <w:rPr>
          <w:rFonts w:hint="eastAsia" w:ascii="宋体" w:hAnsi="宋体" w:cs="宋体"/>
          <w:bCs/>
          <w:color w:val="auto"/>
          <w:sz w:val="24"/>
          <w:highlight w:val="none"/>
        </w:rPr>
      </w:pPr>
      <w:bookmarkStart w:id="887" w:name="_Toc95223487"/>
      <w:bookmarkStart w:id="888" w:name="_Toc324404888"/>
      <w:bookmarkStart w:id="889" w:name="_Toc246996354"/>
      <w:bookmarkStart w:id="890" w:name="_Toc35425136"/>
      <w:bookmarkStart w:id="891" w:name="_Toc152045786"/>
      <w:bookmarkStart w:id="892" w:name="_Toc35424970"/>
      <w:bookmarkStart w:id="893" w:name="_Toc144974855"/>
      <w:bookmarkStart w:id="894" w:name="_Toc506107340"/>
      <w:bookmarkStart w:id="895" w:name="_Toc179632806"/>
      <w:bookmarkStart w:id="896" w:name="_Toc78803398"/>
      <w:bookmarkStart w:id="897" w:name="_Toc15058934"/>
      <w:bookmarkStart w:id="898" w:name="_Toc247085872"/>
      <w:bookmarkStart w:id="899" w:name="_Toc246997097"/>
      <w:bookmarkStart w:id="900" w:name="_Toc152042575"/>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01" w:name="_Toc296347224"/>
      <w:bookmarkStart w:id="902" w:name="_Toc296891053"/>
      <w:bookmarkStart w:id="903" w:name="_Toc296944564"/>
      <w:bookmarkStart w:id="904" w:name="_Toc296503225"/>
      <w:bookmarkStart w:id="905" w:name="_Toc267261692"/>
      <w:bookmarkStart w:id="906" w:name="_Toc296346726"/>
      <w:bookmarkStart w:id="907" w:name="_Toc29689126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887"/>
    </w:p>
    <w:bookmarkEnd w:id="901"/>
    <w:bookmarkEnd w:id="902"/>
    <w:bookmarkEnd w:id="903"/>
    <w:bookmarkEnd w:id="904"/>
    <w:bookmarkEnd w:id="905"/>
    <w:bookmarkEnd w:id="906"/>
    <w:bookmarkEnd w:id="907"/>
    <w:p>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1276"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1082"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940"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1044"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992"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966"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803"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pPr>
              <w:snapToGrid w:val="0"/>
              <w:spacing w:line="360" w:lineRule="auto"/>
              <w:rPr>
                <w:rFonts w:hint="eastAsia" w:ascii="宋体" w:hAnsi="宋体" w:cs="宋体"/>
                <w:color w:val="auto"/>
                <w:sz w:val="22"/>
                <w:szCs w:val="21"/>
                <w:highlight w:val="none"/>
              </w:rPr>
            </w:pPr>
          </w:p>
        </w:tc>
        <w:tc>
          <w:tcPr>
            <w:tcW w:w="1276" w:type="dxa"/>
            <w:noWrap w:val="0"/>
            <w:vAlign w:val="center"/>
          </w:tcPr>
          <w:p>
            <w:pPr>
              <w:snapToGrid w:val="0"/>
              <w:spacing w:line="360" w:lineRule="auto"/>
              <w:rPr>
                <w:rFonts w:hint="eastAsia" w:ascii="宋体" w:hAnsi="宋体" w:cs="宋体"/>
                <w:color w:val="auto"/>
                <w:sz w:val="22"/>
                <w:szCs w:val="21"/>
                <w:highlight w:val="none"/>
              </w:rPr>
            </w:pPr>
          </w:p>
        </w:tc>
        <w:tc>
          <w:tcPr>
            <w:tcW w:w="1082" w:type="dxa"/>
            <w:noWrap w:val="0"/>
            <w:vAlign w:val="center"/>
          </w:tcPr>
          <w:p>
            <w:pPr>
              <w:snapToGrid w:val="0"/>
              <w:spacing w:line="360" w:lineRule="auto"/>
              <w:rPr>
                <w:rFonts w:hint="eastAsia" w:ascii="宋体" w:hAnsi="宋体" w:cs="宋体"/>
                <w:color w:val="auto"/>
                <w:sz w:val="22"/>
                <w:szCs w:val="21"/>
                <w:highlight w:val="none"/>
              </w:rPr>
            </w:pPr>
          </w:p>
        </w:tc>
        <w:tc>
          <w:tcPr>
            <w:tcW w:w="940" w:type="dxa"/>
            <w:noWrap w:val="0"/>
            <w:vAlign w:val="center"/>
          </w:tcPr>
          <w:p>
            <w:pPr>
              <w:snapToGrid w:val="0"/>
              <w:spacing w:line="360" w:lineRule="auto"/>
              <w:rPr>
                <w:rFonts w:hint="eastAsia" w:ascii="宋体" w:hAnsi="宋体" w:cs="宋体"/>
                <w:color w:val="auto"/>
                <w:sz w:val="22"/>
                <w:szCs w:val="21"/>
                <w:highlight w:val="none"/>
              </w:rPr>
            </w:pPr>
          </w:p>
        </w:tc>
        <w:tc>
          <w:tcPr>
            <w:tcW w:w="851" w:type="dxa"/>
            <w:noWrap w:val="0"/>
            <w:vAlign w:val="center"/>
          </w:tcPr>
          <w:p>
            <w:pPr>
              <w:snapToGrid w:val="0"/>
              <w:spacing w:line="360" w:lineRule="auto"/>
              <w:rPr>
                <w:rFonts w:hint="eastAsia" w:ascii="宋体" w:hAnsi="宋体" w:cs="宋体"/>
                <w:color w:val="auto"/>
                <w:sz w:val="22"/>
                <w:szCs w:val="21"/>
                <w:highlight w:val="none"/>
              </w:rPr>
            </w:pPr>
          </w:p>
        </w:tc>
        <w:tc>
          <w:tcPr>
            <w:tcW w:w="1044" w:type="dxa"/>
            <w:noWrap w:val="0"/>
            <w:vAlign w:val="center"/>
          </w:tcPr>
          <w:p>
            <w:pPr>
              <w:snapToGrid w:val="0"/>
              <w:spacing w:line="360" w:lineRule="auto"/>
              <w:rPr>
                <w:rFonts w:hint="eastAsia" w:ascii="宋体" w:hAnsi="宋体" w:cs="宋体"/>
                <w:color w:val="auto"/>
                <w:sz w:val="22"/>
                <w:szCs w:val="21"/>
                <w:highlight w:val="none"/>
              </w:rPr>
            </w:pPr>
          </w:p>
        </w:tc>
        <w:tc>
          <w:tcPr>
            <w:tcW w:w="992" w:type="dxa"/>
            <w:noWrap w:val="0"/>
            <w:vAlign w:val="center"/>
          </w:tcPr>
          <w:p>
            <w:pPr>
              <w:snapToGrid w:val="0"/>
              <w:spacing w:line="360" w:lineRule="auto"/>
              <w:rPr>
                <w:rFonts w:hint="eastAsia" w:ascii="宋体" w:hAnsi="宋体" w:cs="宋体"/>
                <w:color w:val="auto"/>
                <w:sz w:val="22"/>
                <w:szCs w:val="21"/>
                <w:highlight w:val="none"/>
              </w:rPr>
            </w:pPr>
          </w:p>
        </w:tc>
        <w:tc>
          <w:tcPr>
            <w:tcW w:w="851" w:type="dxa"/>
            <w:noWrap w:val="0"/>
            <w:vAlign w:val="center"/>
          </w:tcPr>
          <w:p>
            <w:pPr>
              <w:snapToGrid w:val="0"/>
              <w:spacing w:line="360" w:lineRule="auto"/>
              <w:rPr>
                <w:rFonts w:hint="eastAsia" w:ascii="宋体" w:hAnsi="宋体" w:cs="宋体"/>
                <w:color w:val="auto"/>
                <w:sz w:val="22"/>
                <w:szCs w:val="21"/>
                <w:highlight w:val="none"/>
              </w:rPr>
            </w:pPr>
          </w:p>
        </w:tc>
        <w:tc>
          <w:tcPr>
            <w:tcW w:w="966" w:type="dxa"/>
            <w:noWrap w:val="0"/>
            <w:vAlign w:val="center"/>
          </w:tcPr>
          <w:p>
            <w:pPr>
              <w:snapToGrid w:val="0"/>
              <w:spacing w:line="360" w:lineRule="auto"/>
              <w:rPr>
                <w:rFonts w:hint="eastAsia" w:ascii="宋体" w:hAnsi="宋体" w:cs="宋体"/>
                <w:color w:val="auto"/>
                <w:sz w:val="22"/>
                <w:szCs w:val="21"/>
                <w:highlight w:val="none"/>
              </w:rPr>
            </w:pPr>
          </w:p>
        </w:tc>
        <w:tc>
          <w:tcPr>
            <w:tcW w:w="803" w:type="dxa"/>
            <w:noWrap w:val="0"/>
            <w:vAlign w:val="center"/>
          </w:tcPr>
          <w:p>
            <w:pPr>
              <w:snapToGrid w:val="0"/>
              <w:spacing w:line="360" w:lineRule="auto"/>
              <w:rPr>
                <w:rFonts w:hint="eastAsia"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r>
    </w:tbl>
    <w:p>
      <w:pPr>
        <w:pStyle w:val="14"/>
        <w:rPr>
          <w:rFonts w:hint="eastAsia"/>
          <w:color w:val="auto"/>
          <w:highlight w:val="none"/>
        </w:rPr>
      </w:pPr>
    </w:p>
    <w:p>
      <w:pPr>
        <w:keepNext/>
        <w:keepLines/>
        <w:spacing w:before="120" w:after="120" w:line="360" w:lineRule="auto"/>
        <w:jc w:val="left"/>
        <w:outlineLvl w:val="2"/>
        <w:rPr>
          <w:rFonts w:hint="eastAsia" w:ascii="宋体" w:hAnsi="宋体" w:cs="宋体"/>
          <w:bCs/>
          <w:color w:val="auto"/>
          <w:sz w:val="24"/>
          <w:highlight w:val="none"/>
        </w:rPr>
      </w:pPr>
      <w:bookmarkStart w:id="908" w:name="_Toc95223490"/>
      <w:r>
        <w:rPr>
          <w:rFonts w:hint="eastAsia" w:ascii="宋体" w:hAnsi="宋体" w:cs="宋体"/>
          <w:bCs/>
          <w:color w:val="auto"/>
          <w:sz w:val="24"/>
          <w:highlight w:val="none"/>
        </w:rPr>
        <w:t>附</w:t>
      </w:r>
      <w:bookmarkStart w:id="909" w:name="_Toc296347225"/>
      <w:bookmarkStart w:id="910" w:name="_Toc296346727"/>
      <w:bookmarkStart w:id="911" w:name="_Toc296503226"/>
      <w:bookmarkStart w:id="912" w:name="_Toc296891266"/>
      <w:bookmarkStart w:id="913" w:name="_Toc267261693"/>
      <w:bookmarkStart w:id="914" w:name="_Toc296891054"/>
      <w:bookmarkStart w:id="915" w:name="_Toc29694456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09"/>
      <w:bookmarkEnd w:id="910"/>
      <w:bookmarkEnd w:id="911"/>
      <w:bookmarkEnd w:id="912"/>
      <w:bookmarkEnd w:id="913"/>
      <w:bookmarkEnd w:id="914"/>
      <w:bookmarkEnd w:id="915"/>
      <w:r>
        <w:rPr>
          <w:rFonts w:hint="eastAsia" w:ascii="宋体" w:hAnsi="宋体" w:cs="宋体"/>
          <w:bCs/>
          <w:color w:val="auto"/>
          <w:sz w:val="24"/>
          <w:highlight w:val="none"/>
        </w:rPr>
        <w:t>工程质量保修书</w:t>
      </w:r>
    </w:p>
    <w:p>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w:t>
      </w:r>
      <w:r>
        <w:rPr>
          <w:rFonts w:hint="eastAsia" w:ascii="宋体" w:hAnsi="宋体" w:cs="宋体"/>
          <w:color w:val="auto"/>
          <w:kern w:val="0"/>
          <w:position w:val="6"/>
          <w:szCs w:val="21"/>
          <w:highlight w:val="none"/>
          <w:lang w:val="en-US" w:eastAsia="zh-CN"/>
        </w:rPr>
        <w:t>同设计年限</w:t>
      </w:r>
      <w:r>
        <w:rPr>
          <w:rFonts w:hint="eastAsia" w:ascii="宋体" w:hAnsi="宋体" w:cs="宋体"/>
          <w:color w:val="auto"/>
          <w:kern w:val="0"/>
          <w:position w:val="6"/>
          <w:szCs w:val="21"/>
          <w:highlight w:val="none"/>
        </w:rPr>
        <w:t>；</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__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 xml:space="preserve">_工程，为 </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r>
        <w:rPr>
          <w:rFonts w:hint="eastAsia" w:ascii="宋体" w:hAnsi="宋体" w:cs="宋体"/>
          <w:color w:val="auto"/>
          <w:kern w:val="0"/>
          <w:position w:val="6"/>
          <w:szCs w:val="21"/>
          <w:highlight w:val="none"/>
        </w:rPr>
        <w:br w:type="textWrapping"/>
      </w:r>
      <w:r>
        <w:rPr>
          <w:rFonts w:hint="eastAsia" w:ascii="宋体" w:hAnsi="宋体" w:cs="宋体"/>
          <w:color w:val="auto"/>
          <w:kern w:val="0"/>
          <w:position w:val="6"/>
          <w:szCs w:val="21"/>
          <w:highlight w:val="none"/>
        </w:rPr>
        <w:t>质量保修期自工程竣工验收合格之日起计算。</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pPr>
        <w:adjustRightInd w:val="0"/>
        <w:snapToGrid w:val="0"/>
        <w:spacing w:line="360" w:lineRule="auto"/>
        <w:ind w:firstLine="420"/>
        <w:rPr>
          <w:rFonts w:hint="eastAsia" w:ascii="宋体" w:hAnsi="宋体" w:cs="宋体"/>
          <w:color w:val="auto"/>
          <w:szCs w:val="21"/>
          <w:highlight w:val="none"/>
        </w:rPr>
      </w:pP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rPr>
          <w:rFonts w:hint="eastAsia" w:ascii="宋体" w:hAnsi="宋体" w:cs="宋体"/>
          <w:bCs/>
          <w:color w:val="auto"/>
          <w:sz w:val="24"/>
          <w:highlight w:val="none"/>
        </w:rPr>
      </w:pPr>
      <w:r>
        <w:rPr>
          <w:rFonts w:hint="eastAsia" w:ascii="宋体" w:hAnsi="宋体" w:cs="宋体"/>
          <w:bCs/>
          <w:color w:val="auto"/>
          <w:sz w:val="24"/>
          <w:highlight w:val="none"/>
        </w:rPr>
        <w:br w:type="page"/>
      </w:r>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08"/>
    </w:p>
    <w:p>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pPr>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pPr>
              <w:rPr>
                <w:rFonts w:hint="eastAsia" w:ascii="宋体" w:hAnsi="宋体" w:cs="宋体"/>
                <w:color w:val="auto"/>
                <w:szCs w:val="21"/>
                <w:highlight w:val="none"/>
              </w:rPr>
            </w:pPr>
            <w:r>
              <w:rPr>
                <w:rFonts w:hint="eastAsia" w:ascii="宋体" w:hAnsi="宋体" w:cs="宋体"/>
                <w:color w:val="auto"/>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pPr>
              <w:keepNext/>
              <w:rPr>
                <w:rFonts w:hint="eastAsia" w:ascii="宋体" w:hAnsi="宋体" w:cs="宋体"/>
                <w:color w:val="auto"/>
                <w:szCs w:val="21"/>
                <w:highlight w:val="none"/>
              </w:rPr>
            </w:pPr>
          </w:p>
        </w:tc>
        <w:tc>
          <w:tcPr>
            <w:tcW w:w="1276" w:type="dxa"/>
            <w:tcBorders>
              <w:top w:val="double" w:color="auto" w:sz="6" w:space="0"/>
            </w:tcBorders>
            <w:noWrap w:val="0"/>
            <w:vAlign w:val="center"/>
          </w:tcPr>
          <w:p>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pPr>
              <w:keepNext/>
              <w:rPr>
                <w:rFonts w:hint="eastAsia" w:ascii="宋体" w:hAnsi="宋体" w:cs="宋体"/>
                <w:color w:val="auto"/>
                <w:szCs w:val="21"/>
                <w:highlight w:val="none"/>
              </w:rPr>
            </w:pPr>
          </w:p>
        </w:tc>
        <w:tc>
          <w:tcPr>
            <w:tcW w:w="1243" w:type="dxa"/>
            <w:tcBorders>
              <w:top w:val="double" w:color="auto" w:sz="6" w:space="0"/>
            </w:tcBorders>
            <w:noWrap w:val="0"/>
            <w:vAlign w:val="center"/>
          </w:tcPr>
          <w:p>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pPr>
              <w:keepNext/>
              <w:rPr>
                <w:rFonts w:hint="eastAsia" w:ascii="宋体" w:hAnsi="宋体" w:cs="宋体"/>
                <w:color w:val="auto"/>
                <w:szCs w:val="21"/>
                <w:highlight w:val="none"/>
              </w:rPr>
            </w:pPr>
          </w:p>
        </w:tc>
        <w:tc>
          <w:tcPr>
            <w:tcW w:w="1667" w:type="dxa"/>
            <w:tcBorders>
              <w:top w:val="double" w:color="auto" w:sz="6" w:space="0"/>
            </w:tcBorders>
            <w:noWrap w:val="0"/>
            <w:vAlign w:val="center"/>
          </w:tcPr>
          <w:p>
            <w:pPr>
              <w:keepNex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pPr>
              <w:keepNext/>
              <w:rPr>
                <w:rFonts w:hint="eastAsia" w:ascii="宋体" w:hAnsi="宋体" w:cs="宋体"/>
                <w:color w:val="auto"/>
                <w:szCs w:val="21"/>
                <w:highlight w:val="none"/>
              </w:rPr>
            </w:pPr>
          </w:p>
        </w:tc>
        <w:tc>
          <w:tcPr>
            <w:tcW w:w="1276" w:type="dxa"/>
            <w:tcBorders>
              <w:top w:val="nil"/>
            </w:tcBorders>
            <w:noWrap w:val="0"/>
            <w:vAlign w:val="center"/>
          </w:tcPr>
          <w:p>
            <w:pPr>
              <w:keepNext/>
              <w:rPr>
                <w:rFonts w:hint="eastAsia" w:ascii="宋体" w:hAnsi="宋体" w:cs="宋体"/>
                <w:color w:val="auto"/>
                <w:szCs w:val="21"/>
                <w:highlight w:val="none"/>
              </w:rPr>
            </w:pPr>
          </w:p>
        </w:tc>
        <w:tc>
          <w:tcPr>
            <w:tcW w:w="1450" w:type="dxa"/>
            <w:tcBorders>
              <w:top w:val="nil"/>
            </w:tcBorders>
            <w:noWrap w:val="0"/>
            <w:vAlign w:val="center"/>
          </w:tcPr>
          <w:p>
            <w:pPr>
              <w:keepNext/>
              <w:rPr>
                <w:rFonts w:hint="eastAsia" w:ascii="宋体" w:hAnsi="宋体" w:cs="宋体"/>
                <w:color w:val="auto"/>
                <w:szCs w:val="21"/>
                <w:highlight w:val="none"/>
              </w:rPr>
            </w:pPr>
          </w:p>
        </w:tc>
        <w:tc>
          <w:tcPr>
            <w:tcW w:w="1243" w:type="dxa"/>
            <w:tcBorders>
              <w:top w:val="nil"/>
            </w:tcBorders>
            <w:noWrap w:val="0"/>
            <w:vAlign w:val="center"/>
          </w:tcPr>
          <w:p>
            <w:pPr>
              <w:keepNext/>
              <w:rPr>
                <w:rFonts w:hint="eastAsia" w:ascii="宋体" w:hAnsi="宋体" w:cs="宋体"/>
                <w:color w:val="auto"/>
                <w:szCs w:val="21"/>
                <w:highlight w:val="none"/>
              </w:rPr>
            </w:pPr>
          </w:p>
        </w:tc>
        <w:tc>
          <w:tcPr>
            <w:tcW w:w="1450" w:type="dxa"/>
            <w:tcBorders>
              <w:top w:val="nil"/>
            </w:tcBorders>
            <w:noWrap w:val="0"/>
            <w:vAlign w:val="center"/>
          </w:tcPr>
          <w:p>
            <w:pPr>
              <w:keepNext/>
              <w:rPr>
                <w:rFonts w:hint="eastAsia" w:ascii="宋体" w:hAnsi="宋体" w:cs="宋体"/>
                <w:color w:val="auto"/>
                <w:szCs w:val="21"/>
                <w:highlight w:val="none"/>
              </w:rPr>
            </w:pPr>
          </w:p>
        </w:tc>
        <w:tc>
          <w:tcPr>
            <w:tcW w:w="1667" w:type="dxa"/>
            <w:tcBorders>
              <w:top w:val="nil"/>
            </w:tcBorders>
            <w:noWrap w:val="0"/>
            <w:vAlign w:val="center"/>
          </w:tcPr>
          <w:p>
            <w:pPr>
              <w:keepNex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pPr>
              <w:rPr>
                <w:rFonts w:hint="eastAsia" w:ascii="宋体" w:hAnsi="宋体" w:cs="宋体"/>
                <w:color w:val="auto"/>
                <w:szCs w:val="21"/>
                <w:highlight w:val="none"/>
              </w:rPr>
            </w:pPr>
          </w:p>
        </w:tc>
        <w:tc>
          <w:tcPr>
            <w:tcW w:w="1276" w:type="dxa"/>
            <w:noWrap w:val="0"/>
            <w:vAlign w:val="top"/>
          </w:tcPr>
          <w:p>
            <w:pPr>
              <w:rPr>
                <w:rFonts w:hint="eastAsia" w:ascii="宋体" w:hAnsi="宋体" w:cs="宋体"/>
                <w:color w:val="auto"/>
                <w:szCs w:val="21"/>
                <w:highlight w:val="none"/>
              </w:rPr>
            </w:pPr>
          </w:p>
        </w:tc>
        <w:tc>
          <w:tcPr>
            <w:tcW w:w="1450" w:type="dxa"/>
            <w:noWrap w:val="0"/>
            <w:vAlign w:val="top"/>
          </w:tcPr>
          <w:p>
            <w:pPr>
              <w:rPr>
                <w:rFonts w:hint="eastAsia" w:ascii="宋体" w:hAnsi="宋体" w:cs="宋体"/>
                <w:color w:val="auto"/>
                <w:szCs w:val="21"/>
                <w:highlight w:val="none"/>
              </w:rPr>
            </w:pPr>
          </w:p>
        </w:tc>
        <w:tc>
          <w:tcPr>
            <w:tcW w:w="1243" w:type="dxa"/>
            <w:noWrap w:val="0"/>
            <w:vAlign w:val="top"/>
          </w:tcPr>
          <w:p>
            <w:pPr>
              <w:rPr>
                <w:rFonts w:hint="eastAsia" w:ascii="宋体" w:hAnsi="宋体" w:cs="宋体"/>
                <w:color w:val="auto"/>
                <w:szCs w:val="21"/>
                <w:highlight w:val="none"/>
              </w:rPr>
            </w:pPr>
          </w:p>
        </w:tc>
        <w:tc>
          <w:tcPr>
            <w:tcW w:w="1450" w:type="dxa"/>
            <w:noWrap w:val="0"/>
            <w:vAlign w:val="top"/>
          </w:tcPr>
          <w:p>
            <w:pPr>
              <w:rPr>
                <w:rFonts w:hint="eastAsia" w:ascii="宋体" w:hAnsi="宋体" w:cs="宋体"/>
                <w:color w:val="auto"/>
                <w:szCs w:val="21"/>
                <w:highlight w:val="none"/>
              </w:rPr>
            </w:pPr>
          </w:p>
        </w:tc>
        <w:tc>
          <w:tcPr>
            <w:tcW w:w="1667" w:type="dxa"/>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pPr>
              <w:rPr>
                <w:rFonts w:hint="eastAsia" w:ascii="宋体" w:hAnsi="宋体" w:cs="宋体"/>
                <w:color w:val="auto"/>
                <w:szCs w:val="21"/>
                <w:highlight w:val="none"/>
              </w:rPr>
            </w:pPr>
          </w:p>
        </w:tc>
        <w:tc>
          <w:tcPr>
            <w:tcW w:w="1276" w:type="dxa"/>
            <w:noWrap w:val="0"/>
            <w:vAlign w:val="top"/>
          </w:tcPr>
          <w:p>
            <w:pPr>
              <w:rPr>
                <w:rFonts w:hint="eastAsia" w:ascii="宋体" w:hAnsi="宋体" w:cs="宋体"/>
                <w:color w:val="auto"/>
                <w:szCs w:val="21"/>
                <w:highlight w:val="none"/>
              </w:rPr>
            </w:pPr>
          </w:p>
        </w:tc>
        <w:tc>
          <w:tcPr>
            <w:tcW w:w="1450" w:type="dxa"/>
            <w:noWrap w:val="0"/>
            <w:vAlign w:val="top"/>
          </w:tcPr>
          <w:p>
            <w:pPr>
              <w:rPr>
                <w:rFonts w:hint="eastAsia" w:ascii="宋体" w:hAnsi="宋体" w:cs="宋体"/>
                <w:color w:val="auto"/>
                <w:szCs w:val="21"/>
                <w:highlight w:val="none"/>
              </w:rPr>
            </w:pPr>
          </w:p>
        </w:tc>
        <w:tc>
          <w:tcPr>
            <w:tcW w:w="1243" w:type="dxa"/>
            <w:noWrap w:val="0"/>
            <w:vAlign w:val="top"/>
          </w:tcPr>
          <w:p>
            <w:pPr>
              <w:rPr>
                <w:rFonts w:hint="eastAsia" w:ascii="宋体" w:hAnsi="宋体" w:cs="宋体"/>
                <w:color w:val="auto"/>
                <w:szCs w:val="21"/>
                <w:highlight w:val="none"/>
              </w:rPr>
            </w:pPr>
          </w:p>
        </w:tc>
        <w:tc>
          <w:tcPr>
            <w:tcW w:w="1450" w:type="dxa"/>
            <w:noWrap w:val="0"/>
            <w:vAlign w:val="top"/>
          </w:tcPr>
          <w:p>
            <w:pPr>
              <w:rPr>
                <w:rFonts w:hint="eastAsia" w:ascii="宋体" w:hAnsi="宋体" w:cs="宋体"/>
                <w:color w:val="auto"/>
                <w:szCs w:val="21"/>
                <w:highlight w:val="none"/>
              </w:rPr>
            </w:pPr>
          </w:p>
        </w:tc>
        <w:tc>
          <w:tcPr>
            <w:tcW w:w="1667" w:type="dxa"/>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pPr>
              <w:rPr>
                <w:rFonts w:hint="eastAsia" w:ascii="宋体" w:hAnsi="宋体" w:cs="宋体"/>
                <w:color w:val="auto"/>
                <w:szCs w:val="21"/>
                <w:highlight w:val="none"/>
              </w:rPr>
            </w:pPr>
          </w:p>
        </w:tc>
        <w:tc>
          <w:tcPr>
            <w:tcW w:w="1276" w:type="dxa"/>
            <w:tcBorders>
              <w:bottom w:val="single" w:color="auto" w:sz="12" w:space="0"/>
            </w:tcBorders>
            <w:noWrap w:val="0"/>
            <w:vAlign w:val="top"/>
          </w:tcPr>
          <w:p>
            <w:pPr>
              <w:rPr>
                <w:rFonts w:hint="eastAsia" w:ascii="宋体" w:hAnsi="宋体" w:cs="宋体"/>
                <w:color w:val="auto"/>
                <w:szCs w:val="21"/>
                <w:highlight w:val="none"/>
              </w:rPr>
            </w:pPr>
          </w:p>
        </w:tc>
        <w:tc>
          <w:tcPr>
            <w:tcW w:w="1450" w:type="dxa"/>
            <w:tcBorders>
              <w:bottom w:val="single" w:color="auto" w:sz="12" w:space="0"/>
            </w:tcBorders>
            <w:noWrap w:val="0"/>
            <w:vAlign w:val="top"/>
          </w:tcPr>
          <w:p>
            <w:pPr>
              <w:rPr>
                <w:rFonts w:hint="eastAsia" w:ascii="宋体" w:hAnsi="宋体" w:cs="宋体"/>
                <w:color w:val="auto"/>
                <w:szCs w:val="21"/>
                <w:highlight w:val="none"/>
              </w:rPr>
            </w:pPr>
          </w:p>
        </w:tc>
        <w:tc>
          <w:tcPr>
            <w:tcW w:w="1243" w:type="dxa"/>
            <w:tcBorders>
              <w:bottom w:val="single" w:color="auto" w:sz="12" w:space="0"/>
            </w:tcBorders>
            <w:noWrap w:val="0"/>
            <w:vAlign w:val="top"/>
          </w:tcPr>
          <w:p>
            <w:pPr>
              <w:rPr>
                <w:rFonts w:hint="eastAsia" w:ascii="宋体" w:hAnsi="宋体" w:cs="宋体"/>
                <w:color w:val="auto"/>
                <w:szCs w:val="21"/>
                <w:highlight w:val="none"/>
              </w:rPr>
            </w:pPr>
          </w:p>
        </w:tc>
        <w:tc>
          <w:tcPr>
            <w:tcW w:w="1450" w:type="dxa"/>
            <w:tcBorders>
              <w:bottom w:val="single" w:color="auto" w:sz="12" w:space="0"/>
            </w:tcBorders>
            <w:noWrap w:val="0"/>
            <w:vAlign w:val="top"/>
          </w:tcPr>
          <w:p>
            <w:pPr>
              <w:rPr>
                <w:rFonts w:hint="eastAsia" w:ascii="宋体" w:hAnsi="宋体" w:cs="宋体"/>
                <w:color w:val="auto"/>
                <w:szCs w:val="21"/>
                <w:highlight w:val="none"/>
              </w:rPr>
            </w:pPr>
          </w:p>
        </w:tc>
        <w:tc>
          <w:tcPr>
            <w:tcW w:w="1667" w:type="dxa"/>
            <w:tcBorders>
              <w:bottom w:val="single" w:color="auto" w:sz="12" w:space="0"/>
            </w:tcBorders>
            <w:noWrap w:val="0"/>
            <w:vAlign w:val="top"/>
          </w:tcPr>
          <w:p>
            <w:pPr>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keepNext/>
        <w:keepLines/>
        <w:spacing w:before="120" w:after="120" w:line="360" w:lineRule="auto"/>
        <w:jc w:val="left"/>
        <w:outlineLvl w:val="2"/>
        <w:rPr>
          <w:rFonts w:hint="eastAsia" w:ascii="宋体" w:hAnsi="宋体" w:cs="宋体"/>
          <w:bCs/>
          <w:color w:val="auto"/>
          <w:sz w:val="24"/>
          <w:highlight w:val="none"/>
        </w:rPr>
      </w:pPr>
      <w:bookmarkStart w:id="916" w:name="_Toc95223491"/>
      <w:r>
        <w:rPr>
          <w:rFonts w:hint="eastAsia" w:ascii="宋体" w:hAnsi="宋体" w:cs="宋体"/>
          <w:bCs/>
          <w:color w:val="auto"/>
          <w:sz w:val="24"/>
          <w:highlight w:val="none"/>
        </w:rPr>
        <w:t>附</w:t>
      </w:r>
      <w:bookmarkStart w:id="917" w:name="_Toc296503227"/>
      <w:bookmarkStart w:id="918" w:name="_Toc296891267"/>
      <w:bookmarkStart w:id="919" w:name="_Toc296346728"/>
      <w:bookmarkStart w:id="920" w:name="_Toc296944566"/>
      <w:bookmarkStart w:id="921" w:name="_Toc296347226"/>
      <w:bookmarkStart w:id="922" w:name="_Toc267261698"/>
      <w:bookmarkStart w:id="923" w:name="_Toc29689105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16"/>
    </w:p>
    <w:bookmarkEnd w:id="917"/>
    <w:bookmarkEnd w:id="918"/>
    <w:bookmarkEnd w:id="919"/>
    <w:bookmarkEnd w:id="920"/>
    <w:bookmarkEnd w:id="921"/>
    <w:bookmarkEnd w:id="922"/>
    <w:bookmarkEnd w:id="923"/>
    <w:p>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pPr>
              <w:keepNext/>
              <w:rPr>
                <w:rFonts w:hint="eastAsia" w:ascii="宋体" w:hAnsi="宋体" w:cs="宋体"/>
                <w:color w:val="auto"/>
                <w:szCs w:val="21"/>
                <w:highlight w:val="none"/>
              </w:rPr>
            </w:pPr>
          </w:p>
        </w:tc>
        <w:tc>
          <w:tcPr>
            <w:tcW w:w="1418" w:type="dxa"/>
            <w:tcBorders>
              <w:top w:val="double" w:color="auto" w:sz="6" w:space="0"/>
            </w:tcBorders>
            <w:noWrap w:val="0"/>
            <w:vAlign w:val="center"/>
          </w:tcPr>
          <w:p>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pPr>
              <w:keepNext/>
              <w:rPr>
                <w:rFonts w:hint="eastAsia" w:ascii="宋体" w:hAnsi="宋体" w:cs="宋体"/>
                <w:color w:val="auto"/>
                <w:szCs w:val="21"/>
                <w:highlight w:val="none"/>
              </w:rPr>
            </w:pPr>
          </w:p>
        </w:tc>
        <w:tc>
          <w:tcPr>
            <w:tcW w:w="709" w:type="dxa"/>
            <w:tcBorders>
              <w:top w:val="double" w:color="auto" w:sz="6" w:space="0"/>
            </w:tcBorders>
            <w:noWrap w:val="0"/>
            <w:vAlign w:val="center"/>
          </w:tcPr>
          <w:p>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pPr>
              <w:keepNext/>
              <w:rPr>
                <w:rFonts w:hint="eastAsia" w:ascii="宋体" w:hAnsi="宋体" w:cs="宋体"/>
                <w:color w:val="auto"/>
                <w:szCs w:val="21"/>
                <w:highlight w:val="none"/>
              </w:rPr>
            </w:pPr>
          </w:p>
        </w:tc>
        <w:tc>
          <w:tcPr>
            <w:tcW w:w="963" w:type="dxa"/>
            <w:tcBorders>
              <w:top w:val="double" w:color="auto" w:sz="6" w:space="0"/>
            </w:tcBorders>
            <w:noWrap w:val="0"/>
            <w:vAlign w:val="center"/>
          </w:tcPr>
          <w:p>
            <w:pPr>
              <w:keepNext/>
              <w:rPr>
                <w:rFonts w:hint="eastAsia" w:ascii="宋体" w:hAnsi="宋体" w:cs="宋体"/>
                <w:color w:val="auto"/>
                <w:szCs w:val="21"/>
                <w:highlight w:val="none"/>
              </w:rPr>
            </w:pPr>
          </w:p>
        </w:tc>
        <w:tc>
          <w:tcPr>
            <w:tcW w:w="1480" w:type="dxa"/>
            <w:tcBorders>
              <w:top w:val="double" w:color="auto" w:sz="6" w:space="0"/>
            </w:tcBorders>
            <w:noWrap w:val="0"/>
            <w:vAlign w:val="center"/>
          </w:tcPr>
          <w:p>
            <w:pPr>
              <w:keepNext/>
              <w:rPr>
                <w:rFonts w:hint="eastAsia" w:ascii="宋体" w:hAnsi="宋体" w:cs="宋体"/>
                <w:color w:val="auto"/>
                <w:szCs w:val="21"/>
                <w:highlight w:val="none"/>
              </w:rPr>
            </w:pPr>
          </w:p>
        </w:tc>
        <w:tc>
          <w:tcPr>
            <w:tcW w:w="1020" w:type="dxa"/>
            <w:tcBorders>
              <w:top w:val="double" w:color="auto" w:sz="6" w:space="0"/>
            </w:tcBorders>
            <w:noWrap w:val="0"/>
            <w:vAlign w:val="center"/>
          </w:tcPr>
          <w:p>
            <w:pPr>
              <w:keepNext/>
              <w:rPr>
                <w:rFonts w:hint="eastAsia" w:ascii="宋体" w:hAnsi="宋体" w:cs="宋体"/>
                <w:color w:val="auto"/>
                <w:szCs w:val="21"/>
                <w:highlight w:val="none"/>
              </w:rPr>
            </w:pPr>
          </w:p>
        </w:tc>
        <w:tc>
          <w:tcPr>
            <w:tcW w:w="932" w:type="dxa"/>
            <w:tcBorders>
              <w:top w:val="double" w:color="auto" w:sz="6" w:space="0"/>
            </w:tcBorders>
            <w:noWrap w:val="0"/>
            <w:vAlign w:val="center"/>
          </w:tcPr>
          <w:p>
            <w:pPr>
              <w:keepNex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pPr>
              <w:keepNext/>
              <w:rPr>
                <w:rFonts w:hint="eastAsia" w:ascii="宋体" w:hAnsi="宋体" w:cs="宋体"/>
                <w:color w:val="auto"/>
                <w:szCs w:val="21"/>
                <w:highlight w:val="none"/>
              </w:rPr>
            </w:pPr>
          </w:p>
        </w:tc>
        <w:tc>
          <w:tcPr>
            <w:tcW w:w="1418" w:type="dxa"/>
            <w:tcBorders>
              <w:top w:val="nil"/>
            </w:tcBorders>
            <w:noWrap w:val="0"/>
            <w:vAlign w:val="center"/>
          </w:tcPr>
          <w:p>
            <w:pPr>
              <w:keepNext/>
              <w:rPr>
                <w:rFonts w:hint="eastAsia" w:ascii="宋体" w:hAnsi="宋体" w:cs="宋体"/>
                <w:color w:val="auto"/>
                <w:szCs w:val="21"/>
                <w:highlight w:val="none"/>
              </w:rPr>
            </w:pPr>
          </w:p>
        </w:tc>
        <w:tc>
          <w:tcPr>
            <w:tcW w:w="850" w:type="dxa"/>
            <w:tcBorders>
              <w:top w:val="nil"/>
            </w:tcBorders>
            <w:noWrap w:val="0"/>
            <w:vAlign w:val="center"/>
          </w:tcPr>
          <w:p>
            <w:pPr>
              <w:keepNext/>
              <w:rPr>
                <w:rFonts w:hint="eastAsia" w:ascii="宋体" w:hAnsi="宋体" w:cs="宋体"/>
                <w:color w:val="auto"/>
                <w:szCs w:val="21"/>
                <w:highlight w:val="none"/>
              </w:rPr>
            </w:pPr>
          </w:p>
        </w:tc>
        <w:tc>
          <w:tcPr>
            <w:tcW w:w="709" w:type="dxa"/>
            <w:tcBorders>
              <w:top w:val="nil"/>
            </w:tcBorders>
            <w:noWrap w:val="0"/>
            <w:vAlign w:val="center"/>
          </w:tcPr>
          <w:p>
            <w:pPr>
              <w:keepNext/>
              <w:rPr>
                <w:rFonts w:hint="eastAsia" w:ascii="宋体" w:hAnsi="宋体" w:cs="宋体"/>
                <w:color w:val="auto"/>
                <w:szCs w:val="21"/>
                <w:highlight w:val="none"/>
              </w:rPr>
            </w:pPr>
          </w:p>
        </w:tc>
        <w:tc>
          <w:tcPr>
            <w:tcW w:w="850" w:type="dxa"/>
            <w:tcBorders>
              <w:top w:val="nil"/>
            </w:tcBorders>
            <w:noWrap w:val="0"/>
            <w:vAlign w:val="center"/>
          </w:tcPr>
          <w:p>
            <w:pPr>
              <w:keepNext/>
              <w:rPr>
                <w:rFonts w:hint="eastAsia" w:ascii="宋体" w:hAnsi="宋体" w:cs="宋体"/>
                <w:color w:val="auto"/>
                <w:szCs w:val="21"/>
                <w:highlight w:val="none"/>
              </w:rPr>
            </w:pPr>
          </w:p>
        </w:tc>
        <w:tc>
          <w:tcPr>
            <w:tcW w:w="963" w:type="dxa"/>
            <w:tcBorders>
              <w:top w:val="nil"/>
            </w:tcBorders>
            <w:noWrap w:val="0"/>
            <w:vAlign w:val="center"/>
          </w:tcPr>
          <w:p>
            <w:pPr>
              <w:keepNext/>
              <w:rPr>
                <w:rFonts w:hint="eastAsia" w:ascii="宋体" w:hAnsi="宋体" w:cs="宋体"/>
                <w:color w:val="auto"/>
                <w:szCs w:val="21"/>
                <w:highlight w:val="none"/>
              </w:rPr>
            </w:pPr>
          </w:p>
        </w:tc>
        <w:tc>
          <w:tcPr>
            <w:tcW w:w="1480" w:type="dxa"/>
            <w:tcBorders>
              <w:top w:val="nil"/>
            </w:tcBorders>
            <w:noWrap w:val="0"/>
            <w:vAlign w:val="center"/>
          </w:tcPr>
          <w:p>
            <w:pPr>
              <w:keepNext/>
              <w:rPr>
                <w:rFonts w:hint="eastAsia" w:ascii="宋体" w:hAnsi="宋体" w:cs="宋体"/>
                <w:color w:val="auto"/>
                <w:szCs w:val="21"/>
                <w:highlight w:val="none"/>
              </w:rPr>
            </w:pPr>
          </w:p>
        </w:tc>
        <w:tc>
          <w:tcPr>
            <w:tcW w:w="1020" w:type="dxa"/>
            <w:tcBorders>
              <w:top w:val="nil"/>
            </w:tcBorders>
            <w:noWrap w:val="0"/>
            <w:vAlign w:val="center"/>
          </w:tcPr>
          <w:p>
            <w:pPr>
              <w:keepNext/>
              <w:rPr>
                <w:rFonts w:hint="eastAsia" w:ascii="宋体" w:hAnsi="宋体" w:cs="宋体"/>
                <w:color w:val="auto"/>
                <w:szCs w:val="21"/>
                <w:highlight w:val="none"/>
              </w:rPr>
            </w:pPr>
          </w:p>
        </w:tc>
        <w:tc>
          <w:tcPr>
            <w:tcW w:w="932" w:type="dxa"/>
            <w:tcBorders>
              <w:top w:val="nil"/>
            </w:tcBorders>
            <w:noWrap w:val="0"/>
            <w:vAlign w:val="center"/>
          </w:tcPr>
          <w:p>
            <w:pPr>
              <w:keepNex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pPr>
              <w:rPr>
                <w:rFonts w:hint="eastAsia" w:ascii="宋体" w:hAnsi="宋体" w:cs="宋体"/>
                <w:color w:val="auto"/>
                <w:szCs w:val="21"/>
                <w:highlight w:val="none"/>
              </w:rPr>
            </w:pPr>
          </w:p>
        </w:tc>
        <w:tc>
          <w:tcPr>
            <w:tcW w:w="1418" w:type="dxa"/>
            <w:noWrap w:val="0"/>
            <w:vAlign w:val="top"/>
          </w:tcPr>
          <w:p>
            <w:pPr>
              <w:rPr>
                <w:rFonts w:hint="eastAsia" w:ascii="宋体" w:hAnsi="宋体" w:cs="宋体"/>
                <w:color w:val="auto"/>
                <w:szCs w:val="21"/>
                <w:highlight w:val="none"/>
              </w:rPr>
            </w:pPr>
          </w:p>
        </w:tc>
        <w:tc>
          <w:tcPr>
            <w:tcW w:w="850" w:type="dxa"/>
            <w:noWrap w:val="0"/>
            <w:vAlign w:val="top"/>
          </w:tcPr>
          <w:p>
            <w:pPr>
              <w:rPr>
                <w:rFonts w:hint="eastAsia" w:ascii="宋体" w:hAnsi="宋体" w:cs="宋体"/>
                <w:color w:val="auto"/>
                <w:szCs w:val="21"/>
                <w:highlight w:val="none"/>
              </w:rPr>
            </w:pPr>
          </w:p>
        </w:tc>
        <w:tc>
          <w:tcPr>
            <w:tcW w:w="709" w:type="dxa"/>
            <w:noWrap w:val="0"/>
            <w:vAlign w:val="top"/>
          </w:tcPr>
          <w:p>
            <w:pPr>
              <w:rPr>
                <w:rFonts w:hint="eastAsia" w:ascii="宋体" w:hAnsi="宋体" w:cs="宋体"/>
                <w:color w:val="auto"/>
                <w:szCs w:val="21"/>
                <w:highlight w:val="none"/>
              </w:rPr>
            </w:pPr>
          </w:p>
        </w:tc>
        <w:tc>
          <w:tcPr>
            <w:tcW w:w="850" w:type="dxa"/>
            <w:noWrap w:val="0"/>
            <w:vAlign w:val="top"/>
          </w:tcPr>
          <w:p>
            <w:pPr>
              <w:rPr>
                <w:rFonts w:hint="eastAsia" w:ascii="宋体" w:hAnsi="宋体" w:cs="宋体"/>
                <w:color w:val="auto"/>
                <w:szCs w:val="21"/>
                <w:highlight w:val="none"/>
              </w:rPr>
            </w:pPr>
          </w:p>
        </w:tc>
        <w:tc>
          <w:tcPr>
            <w:tcW w:w="963" w:type="dxa"/>
            <w:noWrap w:val="0"/>
            <w:vAlign w:val="top"/>
          </w:tcPr>
          <w:p>
            <w:pPr>
              <w:rPr>
                <w:rFonts w:hint="eastAsia" w:ascii="宋体" w:hAnsi="宋体" w:cs="宋体"/>
                <w:color w:val="auto"/>
                <w:szCs w:val="21"/>
                <w:highlight w:val="none"/>
              </w:rPr>
            </w:pPr>
          </w:p>
        </w:tc>
        <w:tc>
          <w:tcPr>
            <w:tcW w:w="1480" w:type="dxa"/>
            <w:noWrap w:val="0"/>
            <w:vAlign w:val="top"/>
          </w:tcPr>
          <w:p>
            <w:pPr>
              <w:rPr>
                <w:rFonts w:hint="eastAsia" w:ascii="宋体" w:hAnsi="宋体" w:cs="宋体"/>
                <w:color w:val="auto"/>
                <w:szCs w:val="21"/>
                <w:highlight w:val="none"/>
              </w:rPr>
            </w:pPr>
          </w:p>
        </w:tc>
        <w:tc>
          <w:tcPr>
            <w:tcW w:w="1020" w:type="dxa"/>
            <w:noWrap w:val="0"/>
            <w:vAlign w:val="top"/>
          </w:tcPr>
          <w:p>
            <w:pPr>
              <w:rPr>
                <w:rFonts w:hint="eastAsia" w:ascii="宋体" w:hAnsi="宋体" w:cs="宋体"/>
                <w:color w:val="auto"/>
                <w:szCs w:val="21"/>
                <w:highlight w:val="none"/>
              </w:rPr>
            </w:pPr>
          </w:p>
        </w:tc>
        <w:tc>
          <w:tcPr>
            <w:tcW w:w="932" w:type="dxa"/>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pPr>
              <w:rPr>
                <w:rFonts w:hint="eastAsia" w:ascii="宋体" w:hAnsi="宋体" w:cs="宋体"/>
                <w:color w:val="auto"/>
                <w:szCs w:val="21"/>
                <w:highlight w:val="none"/>
              </w:rPr>
            </w:pPr>
          </w:p>
        </w:tc>
        <w:tc>
          <w:tcPr>
            <w:tcW w:w="1418" w:type="dxa"/>
            <w:noWrap w:val="0"/>
            <w:vAlign w:val="top"/>
          </w:tcPr>
          <w:p>
            <w:pPr>
              <w:rPr>
                <w:rFonts w:hint="eastAsia" w:ascii="宋体" w:hAnsi="宋体" w:cs="宋体"/>
                <w:color w:val="auto"/>
                <w:szCs w:val="21"/>
                <w:highlight w:val="none"/>
              </w:rPr>
            </w:pPr>
          </w:p>
        </w:tc>
        <w:tc>
          <w:tcPr>
            <w:tcW w:w="850" w:type="dxa"/>
            <w:noWrap w:val="0"/>
            <w:vAlign w:val="top"/>
          </w:tcPr>
          <w:p>
            <w:pPr>
              <w:rPr>
                <w:rFonts w:hint="eastAsia" w:ascii="宋体" w:hAnsi="宋体" w:cs="宋体"/>
                <w:color w:val="auto"/>
                <w:szCs w:val="21"/>
                <w:highlight w:val="none"/>
              </w:rPr>
            </w:pPr>
          </w:p>
        </w:tc>
        <w:tc>
          <w:tcPr>
            <w:tcW w:w="709" w:type="dxa"/>
            <w:noWrap w:val="0"/>
            <w:vAlign w:val="top"/>
          </w:tcPr>
          <w:p>
            <w:pPr>
              <w:rPr>
                <w:rFonts w:hint="eastAsia" w:ascii="宋体" w:hAnsi="宋体" w:cs="宋体"/>
                <w:color w:val="auto"/>
                <w:szCs w:val="21"/>
                <w:highlight w:val="none"/>
              </w:rPr>
            </w:pPr>
          </w:p>
        </w:tc>
        <w:tc>
          <w:tcPr>
            <w:tcW w:w="850" w:type="dxa"/>
            <w:noWrap w:val="0"/>
            <w:vAlign w:val="top"/>
          </w:tcPr>
          <w:p>
            <w:pPr>
              <w:rPr>
                <w:rFonts w:hint="eastAsia" w:ascii="宋体" w:hAnsi="宋体" w:cs="宋体"/>
                <w:color w:val="auto"/>
                <w:szCs w:val="21"/>
                <w:highlight w:val="none"/>
              </w:rPr>
            </w:pPr>
          </w:p>
        </w:tc>
        <w:tc>
          <w:tcPr>
            <w:tcW w:w="963" w:type="dxa"/>
            <w:noWrap w:val="0"/>
            <w:vAlign w:val="top"/>
          </w:tcPr>
          <w:p>
            <w:pPr>
              <w:rPr>
                <w:rFonts w:hint="eastAsia" w:ascii="宋体" w:hAnsi="宋体" w:cs="宋体"/>
                <w:color w:val="auto"/>
                <w:szCs w:val="21"/>
                <w:highlight w:val="none"/>
              </w:rPr>
            </w:pPr>
          </w:p>
        </w:tc>
        <w:tc>
          <w:tcPr>
            <w:tcW w:w="1480" w:type="dxa"/>
            <w:noWrap w:val="0"/>
            <w:vAlign w:val="top"/>
          </w:tcPr>
          <w:p>
            <w:pPr>
              <w:rPr>
                <w:rFonts w:hint="eastAsia" w:ascii="宋体" w:hAnsi="宋体" w:cs="宋体"/>
                <w:color w:val="auto"/>
                <w:szCs w:val="21"/>
                <w:highlight w:val="none"/>
              </w:rPr>
            </w:pPr>
          </w:p>
        </w:tc>
        <w:tc>
          <w:tcPr>
            <w:tcW w:w="1020" w:type="dxa"/>
            <w:noWrap w:val="0"/>
            <w:vAlign w:val="top"/>
          </w:tcPr>
          <w:p>
            <w:pPr>
              <w:rPr>
                <w:rFonts w:hint="eastAsia" w:ascii="宋体" w:hAnsi="宋体" w:cs="宋体"/>
                <w:color w:val="auto"/>
                <w:szCs w:val="21"/>
                <w:highlight w:val="none"/>
              </w:rPr>
            </w:pPr>
          </w:p>
        </w:tc>
        <w:tc>
          <w:tcPr>
            <w:tcW w:w="932" w:type="dxa"/>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pPr>
              <w:rPr>
                <w:rFonts w:hint="eastAsia" w:ascii="宋体" w:hAnsi="宋体" w:cs="宋体"/>
                <w:color w:val="auto"/>
                <w:szCs w:val="21"/>
                <w:highlight w:val="none"/>
              </w:rPr>
            </w:pPr>
          </w:p>
        </w:tc>
        <w:tc>
          <w:tcPr>
            <w:tcW w:w="1418" w:type="dxa"/>
            <w:tcBorders>
              <w:bottom w:val="single" w:color="auto" w:sz="12" w:space="0"/>
            </w:tcBorders>
            <w:noWrap w:val="0"/>
            <w:vAlign w:val="top"/>
          </w:tcPr>
          <w:p>
            <w:pPr>
              <w:rPr>
                <w:rFonts w:hint="eastAsia" w:ascii="宋体" w:hAnsi="宋体" w:cs="宋体"/>
                <w:color w:val="auto"/>
                <w:szCs w:val="21"/>
                <w:highlight w:val="none"/>
              </w:rPr>
            </w:pPr>
          </w:p>
        </w:tc>
        <w:tc>
          <w:tcPr>
            <w:tcW w:w="850" w:type="dxa"/>
            <w:tcBorders>
              <w:bottom w:val="single" w:color="auto" w:sz="12" w:space="0"/>
            </w:tcBorders>
            <w:noWrap w:val="0"/>
            <w:vAlign w:val="top"/>
          </w:tcPr>
          <w:p>
            <w:pPr>
              <w:rPr>
                <w:rFonts w:hint="eastAsia" w:ascii="宋体" w:hAnsi="宋体" w:cs="宋体"/>
                <w:color w:val="auto"/>
                <w:szCs w:val="21"/>
                <w:highlight w:val="none"/>
              </w:rPr>
            </w:pPr>
          </w:p>
        </w:tc>
        <w:tc>
          <w:tcPr>
            <w:tcW w:w="709" w:type="dxa"/>
            <w:tcBorders>
              <w:bottom w:val="single" w:color="auto" w:sz="12" w:space="0"/>
            </w:tcBorders>
            <w:noWrap w:val="0"/>
            <w:vAlign w:val="top"/>
          </w:tcPr>
          <w:p>
            <w:pPr>
              <w:rPr>
                <w:rFonts w:hint="eastAsia" w:ascii="宋体" w:hAnsi="宋体" w:cs="宋体"/>
                <w:color w:val="auto"/>
                <w:szCs w:val="21"/>
                <w:highlight w:val="none"/>
              </w:rPr>
            </w:pPr>
          </w:p>
        </w:tc>
        <w:tc>
          <w:tcPr>
            <w:tcW w:w="850" w:type="dxa"/>
            <w:tcBorders>
              <w:bottom w:val="single" w:color="auto" w:sz="12" w:space="0"/>
            </w:tcBorders>
            <w:noWrap w:val="0"/>
            <w:vAlign w:val="top"/>
          </w:tcPr>
          <w:p>
            <w:pPr>
              <w:rPr>
                <w:rFonts w:hint="eastAsia" w:ascii="宋体" w:hAnsi="宋体" w:cs="宋体"/>
                <w:color w:val="auto"/>
                <w:szCs w:val="21"/>
                <w:highlight w:val="none"/>
              </w:rPr>
            </w:pPr>
          </w:p>
        </w:tc>
        <w:tc>
          <w:tcPr>
            <w:tcW w:w="963" w:type="dxa"/>
            <w:tcBorders>
              <w:bottom w:val="single" w:color="auto" w:sz="12" w:space="0"/>
            </w:tcBorders>
            <w:noWrap w:val="0"/>
            <w:vAlign w:val="top"/>
          </w:tcPr>
          <w:p>
            <w:pPr>
              <w:rPr>
                <w:rFonts w:hint="eastAsia" w:ascii="宋体" w:hAnsi="宋体" w:cs="宋体"/>
                <w:color w:val="auto"/>
                <w:szCs w:val="21"/>
                <w:highlight w:val="none"/>
              </w:rPr>
            </w:pPr>
          </w:p>
        </w:tc>
        <w:tc>
          <w:tcPr>
            <w:tcW w:w="1480" w:type="dxa"/>
            <w:tcBorders>
              <w:bottom w:val="single" w:color="auto" w:sz="12" w:space="0"/>
            </w:tcBorders>
            <w:noWrap w:val="0"/>
            <w:vAlign w:val="top"/>
          </w:tcPr>
          <w:p>
            <w:pPr>
              <w:rPr>
                <w:rFonts w:hint="eastAsia" w:ascii="宋体" w:hAnsi="宋体" w:cs="宋体"/>
                <w:color w:val="auto"/>
                <w:szCs w:val="21"/>
                <w:highlight w:val="none"/>
              </w:rPr>
            </w:pPr>
          </w:p>
        </w:tc>
        <w:tc>
          <w:tcPr>
            <w:tcW w:w="1020" w:type="dxa"/>
            <w:tcBorders>
              <w:bottom w:val="single" w:color="auto" w:sz="12" w:space="0"/>
            </w:tcBorders>
            <w:noWrap w:val="0"/>
            <w:vAlign w:val="top"/>
          </w:tcPr>
          <w:p>
            <w:pPr>
              <w:rPr>
                <w:rFonts w:hint="eastAsia" w:ascii="宋体" w:hAnsi="宋体" w:cs="宋体"/>
                <w:color w:val="auto"/>
                <w:szCs w:val="21"/>
                <w:highlight w:val="none"/>
              </w:rPr>
            </w:pPr>
          </w:p>
        </w:tc>
        <w:tc>
          <w:tcPr>
            <w:tcW w:w="932" w:type="dxa"/>
            <w:tcBorders>
              <w:bottom w:val="single" w:color="auto" w:sz="12" w:space="0"/>
            </w:tcBorders>
            <w:noWrap w:val="0"/>
            <w:vAlign w:val="top"/>
          </w:tcPr>
          <w:p>
            <w:pPr>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pPr>
        <w:keepNext/>
        <w:keepLines/>
        <w:spacing w:before="120" w:after="120" w:line="360" w:lineRule="auto"/>
        <w:jc w:val="left"/>
        <w:outlineLvl w:val="2"/>
        <w:rPr>
          <w:rFonts w:hint="eastAsia" w:ascii="宋体" w:hAnsi="宋体" w:cs="宋体"/>
          <w:bCs/>
          <w:color w:val="auto"/>
          <w:sz w:val="24"/>
          <w:highlight w:val="none"/>
        </w:rPr>
      </w:pPr>
      <w:bookmarkStart w:id="924" w:name="_Toc95223492"/>
      <w:r>
        <w:rPr>
          <w:rFonts w:hint="eastAsia" w:ascii="宋体" w:hAnsi="宋体" w:cs="宋体"/>
          <w:bCs/>
          <w:color w:val="auto"/>
          <w:sz w:val="24"/>
          <w:highlight w:val="none"/>
        </w:rPr>
        <w:t>附</w:t>
      </w:r>
      <w:bookmarkStart w:id="925" w:name="_Toc267261699"/>
      <w:bookmarkStart w:id="926" w:name="_Toc296944567"/>
      <w:bookmarkStart w:id="927" w:name="_Toc296503228"/>
      <w:bookmarkStart w:id="928" w:name="_Toc296347227"/>
      <w:bookmarkStart w:id="929" w:name="_Toc296346729"/>
      <w:bookmarkStart w:id="930" w:name="_Toc296891056"/>
      <w:bookmarkStart w:id="931" w:name="_Toc296891268"/>
      <w:r>
        <w:rPr>
          <w:rFonts w:hint="eastAsia" w:ascii="宋体" w:hAnsi="宋体" w:cs="宋体"/>
          <w:bCs/>
          <w:color w:val="auto"/>
          <w:sz w:val="24"/>
          <w:highlight w:val="none"/>
        </w:rPr>
        <w:t>件</w:t>
      </w:r>
      <w:bookmarkEnd w:id="925"/>
      <w:bookmarkEnd w:id="926"/>
      <w:bookmarkEnd w:id="927"/>
      <w:bookmarkEnd w:id="928"/>
      <w:bookmarkEnd w:id="929"/>
      <w:bookmarkEnd w:id="930"/>
      <w:bookmarkEnd w:id="931"/>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24"/>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pPr>
              <w:keepNext/>
              <w:spacing w:line="360" w:lineRule="auto"/>
              <w:jc w:val="center"/>
              <w:rPr>
                <w:rFonts w:hint="eastAsia" w:ascii="宋体" w:hAnsi="宋体" w:cs="宋体"/>
                <w:color w:val="auto"/>
                <w:szCs w:val="21"/>
                <w:highlight w:val="none"/>
              </w:rPr>
            </w:pPr>
          </w:p>
        </w:tc>
        <w:tc>
          <w:tcPr>
            <w:tcW w:w="1279" w:type="pct"/>
            <w:tcBorders>
              <w:top w:val="nil"/>
            </w:tcBorders>
            <w:noWrap w:val="0"/>
            <w:vAlign w:val="center"/>
          </w:tcPr>
          <w:p>
            <w:pPr>
              <w:keepNext/>
              <w:spacing w:line="360" w:lineRule="auto"/>
              <w:jc w:val="center"/>
              <w:rPr>
                <w:rFonts w:hint="eastAsia" w:ascii="宋体" w:hAnsi="宋体" w:cs="宋体"/>
                <w:color w:val="auto"/>
                <w:szCs w:val="21"/>
                <w:highlight w:val="none"/>
              </w:rPr>
            </w:pPr>
          </w:p>
        </w:tc>
        <w:tc>
          <w:tcPr>
            <w:tcW w:w="1153" w:type="pct"/>
            <w:tcBorders>
              <w:top w:val="nil"/>
            </w:tcBorders>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pPr>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auto"/>
                <w:szCs w:val="21"/>
                <w:highlight w:val="none"/>
              </w:rPr>
            </w:pPr>
          </w:p>
        </w:tc>
        <w:tc>
          <w:tcPr>
            <w:tcW w:w="627" w:type="pct"/>
            <w:tcBorders>
              <w:bottom w:val="nil"/>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pPr>
              <w:keepNext/>
              <w:spacing w:line="360" w:lineRule="auto"/>
              <w:jc w:val="center"/>
              <w:rPr>
                <w:rFonts w:hint="eastAsia" w:ascii="宋体" w:hAnsi="宋体" w:cs="宋体"/>
                <w:color w:val="auto"/>
                <w:szCs w:val="21"/>
                <w:highlight w:val="none"/>
              </w:rPr>
            </w:pPr>
          </w:p>
        </w:tc>
        <w:tc>
          <w:tcPr>
            <w:tcW w:w="1279" w:type="pct"/>
            <w:tcBorders>
              <w:bottom w:val="nil"/>
            </w:tcBorders>
            <w:noWrap w:val="0"/>
            <w:vAlign w:val="center"/>
          </w:tcPr>
          <w:p>
            <w:pPr>
              <w:keepNext/>
              <w:spacing w:line="360" w:lineRule="auto"/>
              <w:jc w:val="center"/>
              <w:rPr>
                <w:rFonts w:hint="eastAsia" w:ascii="宋体" w:hAnsi="宋体" w:cs="宋体"/>
                <w:color w:val="auto"/>
                <w:szCs w:val="21"/>
                <w:highlight w:val="none"/>
              </w:rPr>
            </w:pPr>
          </w:p>
        </w:tc>
        <w:tc>
          <w:tcPr>
            <w:tcW w:w="1153" w:type="pct"/>
            <w:tcBorders>
              <w:bottom w:val="nil"/>
            </w:tcBorders>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pPr>
              <w:keepNext/>
              <w:spacing w:line="360" w:lineRule="auto"/>
              <w:jc w:val="center"/>
              <w:rPr>
                <w:rFonts w:hint="eastAsia" w:ascii="宋体" w:hAnsi="宋体" w:cs="宋体"/>
                <w:color w:val="auto"/>
                <w:szCs w:val="21"/>
                <w:highlight w:val="none"/>
              </w:rPr>
            </w:pPr>
          </w:p>
        </w:tc>
      </w:tr>
    </w:tbl>
    <w:p>
      <w:pPr>
        <w:pStyle w:val="43"/>
        <w:spacing w:beforeLines="50" w:afterLines="50" w:line="440" w:lineRule="exact"/>
        <w:rPr>
          <w:rFonts w:hint="eastAsia"/>
          <w:bCs/>
          <w:color w:val="auto"/>
          <w:szCs w:val="32"/>
          <w:highlight w:val="none"/>
        </w:rPr>
      </w:pPr>
    </w:p>
    <w:p>
      <w:pPr>
        <w:rPr>
          <w:rFonts w:hint="eastAsia" w:ascii="宋体" w:hAnsi="宋体" w:cs="宋体"/>
          <w:bCs/>
          <w:color w:val="auto"/>
          <w:sz w:val="24"/>
          <w:highlight w:val="none"/>
        </w:rPr>
      </w:pPr>
      <w:bookmarkStart w:id="932" w:name="_Toc7655"/>
      <w:bookmarkStart w:id="933" w:name="_Toc25726"/>
      <w:bookmarkStart w:id="934" w:name="_Toc95223495"/>
      <w:r>
        <w:rPr>
          <w:rFonts w:hint="eastAsia" w:ascii="宋体" w:hAnsi="宋体" w:cs="宋体"/>
          <w:bCs/>
          <w:color w:val="auto"/>
          <w:sz w:val="24"/>
          <w:highlight w:val="none"/>
        </w:rPr>
        <w:br w:type="page"/>
      </w:r>
    </w:p>
    <w:p>
      <w:pPr>
        <w:keepNext/>
        <w:keepLines/>
        <w:spacing w:before="120" w:after="120" w:line="360" w:lineRule="auto"/>
        <w:jc w:val="left"/>
        <w:outlineLvl w:val="0"/>
        <w:rPr>
          <w:rFonts w:hint="eastAsia" w:ascii="宋体" w:hAnsi="宋体" w:cs="宋体"/>
          <w:bCs/>
          <w:color w:val="auto"/>
          <w:sz w:val="24"/>
          <w:highlight w:val="none"/>
        </w:rPr>
      </w:pPr>
      <w:r>
        <w:rPr>
          <w:rFonts w:hint="eastAsia" w:ascii="宋体" w:hAnsi="宋体" w:cs="宋体"/>
          <w:bCs/>
          <w:color w:val="auto"/>
          <w:sz w:val="24"/>
          <w:highlight w:val="none"/>
        </w:rPr>
        <w:t>附</w:t>
      </w:r>
      <w:bookmarkStart w:id="935" w:name="_Toc296503231"/>
      <w:bookmarkStart w:id="936" w:name="_Toc296891271"/>
      <w:bookmarkStart w:id="937" w:name="_Toc296944570"/>
      <w:bookmarkStart w:id="938" w:name="_Toc296891059"/>
      <w:bookmarkStart w:id="939" w:name="_Toc296346732"/>
      <w:bookmarkStart w:id="940" w:name="_Toc296347230"/>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32"/>
      <w:bookmarkEnd w:id="933"/>
      <w:bookmarkEnd w:id="934"/>
    </w:p>
    <w:bookmarkEnd w:id="935"/>
    <w:bookmarkEnd w:id="936"/>
    <w:bookmarkEnd w:id="937"/>
    <w:bookmarkEnd w:id="938"/>
    <w:bookmarkEnd w:id="939"/>
    <w:bookmarkEnd w:id="940"/>
    <w:p>
      <w:pPr>
        <w:widowControl/>
        <w:spacing w:line="360" w:lineRule="auto"/>
        <w:ind w:firstLine="643"/>
        <w:jc w:val="center"/>
        <w:outlineLvl w:val="0"/>
        <w:rPr>
          <w:rFonts w:hint="eastAsia" w:ascii="宋体" w:hAnsi="宋体" w:cs="宋体"/>
          <w:b/>
          <w:bCs/>
          <w:color w:val="auto"/>
          <w:kern w:val="0"/>
          <w:sz w:val="32"/>
          <w:szCs w:val="32"/>
          <w:highlight w:val="none"/>
        </w:rPr>
      </w:pPr>
      <w:bookmarkStart w:id="941" w:name="_Toc9808"/>
      <w:bookmarkStart w:id="942" w:name="_Toc7607"/>
      <w:bookmarkStart w:id="943" w:name="_Toc95223496"/>
      <w:r>
        <w:rPr>
          <w:rFonts w:hint="eastAsia" w:ascii="宋体" w:hAnsi="宋体" w:cs="宋体"/>
          <w:b/>
          <w:bCs/>
          <w:color w:val="auto"/>
          <w:kern w:val="0"/>
          <w:sz w:val="32"/>
          <w:szCs w:val="32"/>
          <w:highlight w:val="none"/>
        </w:rPr>
        <w:t>廉 政 协 议</w:t>
      </w:r>
      <w:bookmarkEnd w:id="941"/>
      <w:bookmarkEnd w:id="942"/>
      <w:bookmarkEnd w:id="943"/>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44" w:name="_Toc95223497"/>
      <w:bookmarkStart w:id="945" w:name="_Toc21306"/>
      <w:bookmarkStart w:id="946" w:name="_Toc9888"/>
      <w:r>
        <w:rPr>
          <w:rFonts w:hint="eastAsia" w:ascii="宋体" w:hAnsi="宋体" w:cs="宋体"/>
          <w:color w:val="auto"/>
          <w:kern w:val="0"/>
          <w:szCs w:val="21"/>
          <w:highlight w:val="none"/>
        </w:rPr>
        <w:t>第一条 甲乙双方的权利和义务</w:t>
      </w:r>
      <w:bookmarkEnd w:id="944"/>
      <w:bookmarkEnd w:id="945"/>
      <w:bookmarkEnd w:id="946"/>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47" w:name="_Toc1917"/>
      <w:bookmarkStart w:id="948" w:name="_Toc95223498"/>
      <w:bookmarkStart w:id="949" w:name="_Toc3866"/>
      <w:r>
        <w:rPr>
          <w:rFonts w:hint="eastAsia" w:ascii="宋体" w:hAnsi="宋体" w:cs="宋体"/>
          <w:color w:val="auto"/>
          <w:kern w:val="0"/>
          <w:szCs w:val="21"/>
          <w:highlight w:val="none"/>
        </w:rPr>
        <w:t>第二条 甲方的义务</w:t>
      </w:r>
      <w:bookmarkEnd w:id="947"/>
      <w:bookmarkEnd w:id="948"/>
      <w:bookmarkEnd w:id="949"/>
    </w:p>
    <w:p>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50" w:name="_Toc20831"/>
      <w:bookmarkStart w:id="951" w:name="_Toc10556"/>
      <w:bookmarkStart w:id="952" w:name="_Toc95223499"/>
      <w:r>
        <w:rPr>
          <w:rFonts w:hint="eastAsia" w:ascii="宋体" w:hAnsi="宋体" w:cs="宋体"/>
          <w:color w:val="auto"/>
          <w:kern w:val="0"/>
          <w:szCs w:val="21"/>
          <w:highlight w:val="none"/>
        </w:rPr>
        <w:t>第三条 乙方的义务</w:t>
      </w:r>
      <w:bookmarkEnd w:id="950"/>
      <w:bookmarkEnd w:id="951"/>
      <w:bookmarkEnd w:id="952"/>
    </w:p>
    <w:p>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53" w:name="_Toc95223500"/>
      <w:bookmarkStart w:id="954" w:name="_Toc2198"/>
      <w:bookmarkStart w:id="955" w:name="_Toc14507"/>
      <w:r>
        <w:rPr>
          <w:rFonts w:hint="eastAsia" w:ascii="宋体" w:hAnsi="宋体" w:cs="宋体"/>
          <w:color w:val="auto"/>
          <w:kern w:val="0"/>
          <w:szCs w:val="21"/>
          <w:highlight w:val="none"/>
        </w:rPr>
        <w:t>第四条 违约责任</w:t>
      </w:r>
      <w:bookmarkEnd w:id="953"/>
      <w:bookmarkEnd w:id="954"/>
      <w:bookmarkEnd w:id="955"/>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56" w:name="_Toc10228"/>
      <w:bookmarkStart w:id="957" w:name="_Toc95223501"/>
      <w:bookmarkStart w:id="958" w:name="_Toc2334"/>
      <w:r>
        <w:rPr>
          <w:rFonts w:hint="eastAsia" w:ascii="宋体" w:hAnsi="宋体" w:cs="宋体"/>
          <w:color w:val="auto"/>
          <w:kern w:val="0"/>
          <w:szCs w:val="21"/>
          <w:highlight w:val="none"/>
        </w:rPr>
        <w:t>第五条 双方约定</w:t>
      </w:r>
      <w:bookmarkEnd w:id="956"/>
      <w:bookmarkEnd w:id="957"/>
      <w:bookmarkEnd w:id="958"/>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59" w:name="_Toc32140"/>
      <w:bookmarkStart w:id="960" w:name="_Toc95223502"/>
      <w:bookmarkStart w:id="961" w:name="_Toc17717"/>
      <w:r>
        <w:rPr>
          <w:rFonts w:hint="eastAsia" w:ascii="宋体" w:hAnsi="宋体" w:cs="宋体"/>
          <w:color w:val="auto"/>
          <w:kern w:val="0"/>
          <w:szCs w:val="21"/>
          <w:highlight w:val="none"/>
        </w:rPr>
        <w:t>第六条  本协议有效期为甲乙双方签署之日起至合同终止。</w:t>
      </w:r>
      <w:bookmarkEnd w:id="959"/>
      <w:bookmarkEnd w:id="960"/>
      <w:bookmarkEnd w:id="961"/>
      <w:r>
        <w:rPr>
          <w:rFonts w:hint="eastAsia" w:ascii="宋体" w:hAnsi="宋体" w:cs="宋体"/>
          <w:color w:val="auto"/>
          <w:kern w:val="0"/>
          <w:szCs w:val="21"/>
          <w:highlight w:val="none"/>
        </w:rPr>
        <w:t xml:space="preserve">  </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62" w:name="_Toc95223503"/>
      <w:bookmarkStart w:id="963" w:name="_Toc24032"/>
      <w:bookmarkStart w:id="964" w:name="_Toc1871"/>
      <w:r>
        <w:rPr>
          <w:rFonts w:hint="eastAsia" w:ascii="宋体" w:hAnsi="宋体" w:cs="宋体"/>
          <w:color w:val="auto"/>
          <w:kern w:val="0"/>
          <w:szCs w:val="21"/>
          <w:highlight w:val="none"/>
        </w:rPr>
        <w:t>第七条  本协议作为合同的附件，与本合同具有同等法律效力。</w:t>
      </w:r>
      <w:bookmarkEnd w:id="962"/>
      <w:bookmarkEnd w:id="963"/>
      <w:bookmarkEnd w:id="964"/>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965"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965"/>
    </w:p>
    <w:p>
      <w:pPr>
        <w:adjustRightInd w:val="0"/>
        <w:snapToGrid w:val="0"/>
        <w:spacing w:line="360" w:lineRule="auto"/>
        <w:jc w:val="center"/>
        <w:outlineLvl w:val="0"/>
        <w:rPr>
          <w:rFonts w:hint="eastAsia" w:ascii="宋体" w:hAnsi="宋体" w:cs="宋体"/>
          <w:b/>
          <w:bCs/>
          <w:color w:val="auto"/>
          <w:sz w:val="32"/>
          <w:szCs w:val="32"/>
          <w:highlight w:val="none"/>
        </w:rPr>
      </w:pPr>
      <w:bookmarkStart w:id="966" w:name="_Toc8655"/>
      <w:bookmarkStart w:id="967" w:name="_Toc95223505"/>
      <w:bookmarkStart w:id="968" w:name="_Toc25855"/>
      <w:r>
        <w:rPr>
          <w:rFonts w:hint="eastAsia" w:ascii="宋体" w:hAnsi="宋体" w:cs="宋体"/>
          <w:b/>
          <w:bCs/>
          <w:color w:val="auto"/>
          <w:sz w:val="32"/>
          <w:szCs w:val="32"/>
          <w:highlight w:val="none"/>
        </w:rPr>
        <w:t>履约保函示范文本</w:t>
      </w:r>
      <w:bookmarkEnd w:id="966"/>
      <w:bookmarkEnd w:id="967"/>
      <w:bookmarkEnd w:id="968"/>
    </w:p>
    <w:p>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pPr>
        <w:adjustRightInd w:val="0"/>
        <w:snapToGrid w:val="0"/>
        <w:spacing w:line="360" w:lineRule="auto"/>
        <w:rPr>
          <w:rFonts w:hint="eastAsia" w:ascii="宋体" w:hAnsi="宋体" w:cs="宋体"/>
          <w:color w:val="auto"/>
          <w:szCs w:val="21"/>
          <w:highlight w:val="none"/>
        </w:rPr>
      </w:pP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pPr>
        <w:adjustRightInd w:val="0"/>
        <w:snapToGrid w:val="0"/>
        <w:spacing w:line="360" w:lineRule="auto"/>
        <w:ind w:firstLine="480"/>
        <w:rPr>
          <w:rFonts w:hint="eastAsia" w:ascii="宋体" w:hAnsi="宋体" w:cs="宋体"/>
          <w:color w:val="auto"/>
          <w:szCs w:val="21"/>
          <w:highlight w:val="none"/>
        </w:rPr>
      </w:pPr>
      <w:bookmarkStart w:id="969"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969"/>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970" w:name="_Hlk40303486"/>
      <w:r>
        <w:rPr>
          <w:rFonts w:hint="eastAsia" w:ascii="宋体" w:hAnsi="宋体" w:cs="宋体"/>
          <w:color w:val="auto"/>
          <w:szCs w:val="21"/>
          <w:highlight w:val="none"/>
        </w:rPr>
        <w:t>受益人发出的书面付款通知应由其法定代表人（负责人）或授权代理人签字并加盖公章。</w:t>
      </w:r>
      <w:bookmarkEnd w:id="970"/>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pPr>
        <w:adjustRightInd w:val="0"/>
        <w:snapToGrid w:val="0"/>
        <w:spacing w:line="360" w:lineRule="auto"/>
        <w:ind w:firstLine="420" w:firstLineChars="200"/>
        <w:rPr>
          <w:rFonts w:hint="eastAsia" w:ascii="宋体" w:hAnsi="宋体" w:cs="宋体"/>
          <w:color w:val="auto"/>
          <w:szCs w:val="21"/>
          <w:highlight w:val="none"/>
        </w:rPr>
      </w:pPr>
      <w:bookmarkStart w:id="971" w:name="_Hlk40303383"/>
      <w:bookmarkStart w:id="972" w:name="_Hlk40354981"/>
      <w:r>
        <w:rPr>
          <w:rFonts w:hint="eastAsia" w:ascii="宋体" w:hAnsi="宋体" w:cs="宋体"/>
          <w:color w:val="auto"/>
          <w:szCs w:val="21"/>
          <w:highlight w:val="none"/>
        </w:rPr>
        <w:t xml:space="preserve">七、本保函项下的义务和责任均在保函有效期到期后自动消灭。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971"/>
      <w:r>
        <w:rPr>
          <w:rFonts w:hint="eastAsia" w:ascii="宋体" w:hAnsi="宋体" w:cs="宋体"/>
          <w:color w:val="auto"/>
          <w:szCs w:val="21"/>
          <w:highlight w:val="none"/>
        </w:rPr>
        <w:t xml:space="preserve">由受益人所在地人民法院管辖。 </w:t>
      </w:r>
    </w:p>
    <w:bookmarkEnd w:id="972"/>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bCs/>
          <w:color w:val="auto"/>
          <w:sz w:val="24"/>
          <w:highlight w:val="none"/>
        </w:rPr>
      </w:pPr>
      <w:bookmarkStart w:id="973" w:name="_Toc95223510"/>
      <w:r>
        <w:rPr>
          <w:rFonts w:hint="eastAsia" w:ascii="宋体" w:hAnsi="宋体" w:cs="宋体"/>
          <w:bCs/>
          <w:color w:val="auto"/>
          <w:sz w:val="24"/>
          <w:highlight w:val="none"/>
        </w:rPr>
        <w:br w:type="page"/>
      </w:r>
    </w:p>
    <w:p>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973"/>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auto"/>
                <w:szCs w:val="21"/>
                <w:highlight w:val="none"/>
              </w:rPr>
            </w:pPr>
          </w:p>
        </w:tc>
        <w:tc>
          <w:tcPr>
            <w:tcW w:w="1984" w:type="dxa"/>
            <w:noWrap w:val="0"/>
            <w:vAlign w:val="top"/>
          </w:tcPr>
          <w:p>
            <w:pPr>
              <w:keepNext/>
              <w:spacing w:line="440" w:lineRule="exact"/>
              <w:rPr>
                <w:rFonts w:hint="eastAsia" w:ascii="宋体" w:hAnsi="宋体" w:cs="宋体"/>
                <w:color w:val="auto"/>
                <w:szCs w:val="21"/>
                <w:highlight w:val="none"/>
              </w:rPr>
            </w:pPr>
          </w:p>
        </w:tc>
        <w:tc>
          <w:tcPr>
            <w:tcW w:w="851" w:type="dxa"/>
            <w:noWrap w:val="0"/>
            <w:vAlign w:val="top"/>
          </w:tcPr>
          <w:p>
            <w:pPr>
              <w:keepNext/>
              <w:spacing w:line="440" w:lineRule="exact"/>
              <w:rPr>
                <w:rFonts w:hint="eastAsia" w:ascii="宋体" w:hAnsi="宋体" w:cs="宋体"/>
                <w:color w:val="auto"/>
                <w:szCs w:val="21"/>
                <w:highlight w:val="none"/>
              </w:rPr>
            </w:pPr>
          </w:p>
        </w:tc>
        <w:tc>
          <w:tcPr>
            <w:tcW w:w="774" w:type="dxa"/>
            <w:noWrap w:val="0"/>
            <w:vAlign w:val="top"/>
          </w:tcPr>
          <w:p>
            <w:pPr>
              <w:keepNext/>
              <w:spacing w:line="440" w:lineRule="exact"/>
              <w:rPr>
                <w:rFonts w:hint="eastAsia" w:ascii="宋体" w:hAnsi="宋体" w:cs="宋体"/>
                <w:color w:val="auto"/>
                <w:szCs w:val="21"/>
                <w:highlight w:val="none"/>
              </w:rPr>
            </w:pPr>
          </w:p>
        </w:tc>
        <w:tc>
          <w:tcPr>
            <w:tcW w:w="1352" w:type="dxa"/>
            <w:noWrap w:val="0"/>
            <w:vAlign w:val="top"/>
          </w:tcPr>
          <w:p>
            <w:pPr>
              <w:keepNext/>
              <w:spacing w:line="440" w:lineRule="exact"/>
              <w:rPr>
                <w:rFonts w:hint="eastAsia" w:ascii="宋体" w:hAnsi="宋体" w:cs="宋体"/>
                <w:color w:val="auto"/>
                <w:szCs w:val="21"/>
                <w:highlight w:val="none"/>
              </w:rPr>
            </w:pPr>
          </w:p>
        </w:tc>
        <w:tc>
          <w:tcPr>
            <w:tcW w:w="1418" w:type="dxa"/>
            <w:noWrap w:val="0"/>
            <w:vAlign w:val="top"/>
          </w:tcPr>
          <w:p>
            <w:pPr>
              <w:keepNext/>
              <w:spacing w:line="440" w:lineRule="exact"/>
              <w:rPr>
                <w:rFonts w:hint="eastAsia" w:ascii="宋体" w:hAnsi="宋体" w:cs="宋体"/>
                <w:color w:val="auto"/>
                <w:szCs w:val="21"/>
                <w:highlight w:val="none"/>
              </w:rPr>
            </w:pPr>
          </w:p>
        </w:tc>
        <w:tc>
          <w:tcPr>
            <w:tcW w:w="1701" w:type="dxa"/>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auto"/>
                <w:szCs w:val="21"/>
                <w:highlight w:val="none"/>
              </w:rPr>
            </w:pPr>
          </w:p>
        </w:tc>
        <w:tc>
          <w:tcPr>
            <w:tcW w:w="1984" w:type="dxa"/>
            <w:noWrap w:val="0"/>
            <w:vAlign w:val="top"/>
          </w:tcPr>
          <w:p>
            <w:pPr>
              <w:keepNext/>
              <w:spacing w:line="440" w:lineRule="exact"/>
              <w:rPr>
                <w:rFonts w:hint="eastAsia" w:ascii="宋体" w:hAnsi="宋体" w:cs="宋体"/>
                <w:color w:val="auto"/>
                <w:szCs w:val="21"/>
                <w:highlight w:val="none"/>
              </w:rPr>
            </w:pPr>
          </w:p>
        </w:tc>
        <w:tc>
          <w:tcPr>
            <w:tcW w:w="851" w:type="dxa"/>
            <w:noWrap w:val="0"/>
            <w:vAlign w:val="top"/>
          </w:tcPr>
          <w:p>
            <w:pPr>
              <w:keepNext/>
              <w:spacing w:line="440" w:lineRule="exact"/>
              <w:rPr>
                <w:rFonts w:hint="eastAsia" w:ascii="宋体" w:hAnsi="宋体" w:cs="宋体"/>
                <w:color w:val="auto"/>
                <w:szCs w:val="21"/>
                <w:highlight w:val="none"/>
              </w:rPr>
            </w:pPr>
          </w:p>
        </w:tc>
        <w:tc>
          <w:tcPr>
            <w:tcW w:w="774" w:type="dxa"/>
            <w:noWrap w:val="0"/>
            <w:vAlign w:val="top"/>
          </w:tcPr>
          <w:p>
            <w:pPr>
              <w:keepNext/>
              <w:spacing w:line="440" w:lineRule="exact"/>
              <w:rPr>
                <w:rFonts w:hint="eastAsia" w:ascii="宋体" w:hAnsi="宋体" w:cs="宋体"/>
                <w:color w:val="auto"/>
                <w:szCs w:val="21"/>
                <w:highlight w:val="none"/>
              </w:rPr>
            </w:pPr>
          </w:p>
        </w:tc>
        <w:tc>
          <w:tcPr>
            <w:tcW w:w="1352" w:type="dxa"/>
            <w:noWrap w:val="0"/>
            <w:vAlign w:val="top"/>
          </w:tcPr>
          <w:p>
            <w:pPr>
              <w:keepNext/>
              <w:spacing w:line="440" w:lineRule="exact"/>
              <w:rPr>
                <w:rFonts w:hint="eastAsia" w:ascii="宋体" w:hAnsi="宋体" w:cs="宋体"/>
                <w:color w:val="auto"/>
                <w:szCs w:val="21"/>
                <w:highlight w:val="none"/>
              </w:rPr>
            </w:pPr>
          </w:p>
        </w:tc>
        <w:tc>
          <w:tcPr>
            <w:tcW w:w="1418" w:type="dxa"/>
            <w:noWrap w:val="0"/>
            <w:vAlign w:val="top"/>
          </w:tcPr>
          <w:p>
            <w:pPr>
              <w:keepNext/>
              <w:spacing w:line="440" w:lineRule="exact"/>
              <w:rPr>
                <w:rFonts w:hint="eastAsia" w:ascii="宋体" w:hAnsi="宋体" w:cs="宋体"/>
                <w:color w:val="auto"/>
                <w:szCs w:val="21"/>
                <w:highlight w:val="none"/>
              </w:rPr>
            </w:pPr>
          </w:p>
        </w:tc>
        <w:tc>
          <w:tcPr>
            <w:tcW w:w="1701" w:type="dxa"/>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r>
    </w:tbl>
    <w:p>
      <w:pPr>
        <w:spacing w:before="120" w:beforeLines="50" w:after="120" w:afterLines="50" w:line="440" w:lineRule="exact"/>
        <w:rPr>
          <w:rFonts w:hint="eastAsia" w:ascii="宋体" w:hAnsi="宋体" w:cs="宋体"/>
          <w:color w:val="auto"/>
          <w:szCs w:val="21"/>
          <w:highlight w:val="none"/>
        </w:rPr>
      </w:pPr>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auto"/>
                <w:szCs w:val="21"/>
                <w:highlight w:val="none"/>
              </w:rPr>
            </w:pPr>
          </w:p>
        </w:tc>
        <w:tc>
          <w:tcPr>
            <w:tcW w:w="1984" w:type="dxa"/>
            <w:noWrap w:val="0"/>
            <w:vAlign w:val="top"/>
          </w:tcPr>
          <w:p>
            <w:pPr>
              <w:keepNext/>
              <w:spacing w:line="440" w:lineRule="exact"/>
              <w:rPr>
                <w:rFonts w:hint="eastAsia" w:ascii="宋体" w:hAnsi="宋体" w:cs="宋体"/>
                <w:color w:val="auto"/>
                <w:szCs w:val="21"/>
                <w:highlight w:val="none"/>
              </w:rPr>
            </w:pPr>
          </w:p>
        </w:tc>
        <w:tc>
          <w:tcPr>
            <w:tcW w:w="851" w:type="dxa"/>
            <w:noWrap w:val="0"/>
            <w:vAlign w:val="top"/>
          </w:tcPr>
          <w:p>
            <w:pPr>
              <w:keepNext/>
              <w:spacing w:line="440" w:lineRule="exact"/>
              <w:rPr>
                <w:rFonts w:hint="eastAsia" w:ascii="宋体" w:hAnsi="宋体" w:cs="宋体"/>
                <w:color w:val="auto"/>
                <w:szCs w:val="21"/>
                <w:highlight w:val="none"/>
              </w:rPr>
            </w:pPr>
          </w:p>
        </w:tc>
        <w:tc>
          <w:tcPr>
            <w:tcW w:w="774" w:type="dxa"/>
            <w:noWrap w:val="0"/>
            <w:vAlign w:val="top"/>
          </w:tcPr>
          <w:p>
            <w:pPr>
              <w:keepNext/>
              <w:spacing w:line="440" w:lineRule="exact"/>
              <w:rPr>
                <w:rFonts w:hint="eastAsia" w:ascii="宋体" w:hAnsi="宋体" w:cs="宋体"/>
                <w:color w:val="auto"/>
                <w:szCs w:val="21"/>
                <w:highlight w:val="none"/>
              </w:rPr>
            </w:pPr>
          </w:p>
        </w:tc>
        <w:tc>
          <w:tcPr>
            <w:tcW w:w="1352" w:type="dxa"/>
            <w:noWrap w:val="0"/>
            <w:vAlign w:val="top"/>
          </w:tcPr>
          <w:p>
            <w:pPr>
              <w:keepNext/>
              <w:spacing w:line="440" w:lineRule="exact"/>
              <w:rPr>
                <w:rFonts w:hint="eastAsia" w:ascii="宋体" w:hAnsi="宋体" w:cs="宋体"/>
                <w:color w:val="auto"/>
                <w:szCs w:val="21"/>
                <w:highlight w:val="none"/>
              </w:rPr>
            </w:pPr>
          </w:p>
        </w:tc>
        <w:tc>
          <w:tcPr>
            <w:tcW w:w="1418" w:type="dxa"/>
            <w:noWrap w:val="0"/>
            <w:vAlign w:val="top"/>
          </w:tcPr>
          <w:p>
            <w:pPr>
              <w:keepNext/>
              <w:spacing w:line="440" w:lineRule="exact"/>
              <w:rPr>
                <w:rFonts w:hint="eastAsia" w:ascii="宋体" w:hAnsi="宋体" w:cs="宋体"/>
                <w:color w:val="auto"/>
                <w:szCs w:val="21"/>
                <w:highlight w:val="none"/>
              </w:rPr>
            </w:pPr>
          </w:p>
        </w:tc>
        <w:tc>
          <w:tcPr>
            <w:tcW w:w="1701" w:type="dxa"/>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r>
    </w:tbl>
    <w:p>
      <w:pPr>
        <w:spacing w:line="440" w:lineRule="exact"/>
        <w:rPr>
          <w:rFonts w:hint="eastAsia" w:ascii="宋体" w:hAnsi="宋体" w:cs="宋体"/>
          <w:color w:val="auto"/>
          <w:szCs w:val="21"/>
          <w:highlight w:val="none"/>
        </w:rPr>
      </w:pPr>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auto"/>
                <w:szCs w:val="21"/>
                <w:highlight w:val="none"/>
              </w:rPr>
            </w:pPr>
          </w:p>
        </w:tc>
        <w:tc>
          <w:tcPr>
            <w:tcW w:w="1984" w:type="dxa"/>
            <w:noWrap w:val="0"/>
            <w:vAlign w:val="top"/>
          </w:tcPr>
          <w:p>
            <w:pPr>
              <w:keepNext/>
              <w:spacing w:line="440" w:lineRule="exact"/>
              <w:rPr>
                <w:rFonts w:hint="eastAsia" w:ascii="宋体" w:hAnsi="宋体" w:cs="宋体"/>
                <w:color w:val="auto"/>
                <w:szCs w:val="21"/>
                <w:highlight w:val="none"/>
              </w:rPr>
            </w:pPr>
          </w:p>
        </w:tc>
        <w:tc>
          <w:tcPr>
            <w:tcW w:w="851" w:type="dxa"/>
            <w:noWrap w:val="0"/>
            <w:vAlign w:val="top"/>
          </w:tcPr>
          <w:p>
            <w:pPr>
              <w:keepNext/>
              <w:spacing w:line="440" w:lineRule="exact"/>
              <w:rPr>
                <w:rFonts w:hint="eastAsia" w:ascii="宋体" w:hAnsi="宋体" w:cs="宋体"/>
                <w:color w:val="auto"/>
                <w:szCs w:val="21"/>
                <w:highlight w:val="none"/>
              </w:rPr>
            </w:pPr>
          </w:p>
        </w:tc>
        <w:tc>
          <w:tcPr>
            <w:tcW w:w="774" w:type="dxa"/>
            <w:noWrap w:val="0"/>
            <w:vAlign w:val="top"/>
          </w:tcPr>
          <w:p>
            <w:pPr>
              <w:keepNext/>
              <w:spacing w:line="440" w:lineRule="exact"/>
              <w:rPr>
                <w:rFonts w:hint="eastAsia" w:ascii="宋体" w:hAnsi="宋体" w:cs="宋体"/>
                <w:color w:val="auto"/>
                <w:szCs w:val="21"/>
                <w:highlight w:val="none"/>
              </w:rPr>
            </w:pPr>
          </w:p>
        </w:tc>
        <w:tc>
          <w:tcPr>
            <w:tcW w:w="1352" w:type="dxa"/>
            <w:noWrap w:val="0"/>
            <w:vAlign w:val="top"/>
          </w:tcPr>
          <w:p>
            <w:pPr>
              <w:keepNext/>
              <w:spacing w:line="440" w:lineRule="exact"/>
              <w:rPr>
                <w:rFonts w:hint="eastAsia" w:ascii="宋体" w:hAnsi="宋体" w:cs="宋体"/>
                <w:color w:val="auto"/>
                <w:szCs w:val="21"/>
                <w:highlight w:val="none"/>
              </w:rPr>
            </w:pPr>
          </w:p>
        </w:tc>
        <w:tc>
          <w:tcPr>
            <w:tcW w:w="1418" w:type="dxa"/>
            <w:noWrap w:val="0"/>
            <w:vAlign w:val="top"/>
          </w:tcPr>
          <w:p>
            <w:pPr>
              <w:keepNext/>
              <w:spacing w:line="440" w:lineRule="exact"/>
              <w:rPr>
                <w:rFonts w:hint="eastAsia" w:ascii="宋体" w:hAnsi="宋体" w:cs="宋体"/>
                <w:color w:val="auto"/>
                <w:szCs w:val="21"/>
                <w:highlight w:val="none"/>
              </w:rPr>
            </w:pPr>
          </w:p>
        </w:tc>
        <w:tc>
          <w:tcPr>
            <w:tcW w:w="1701" w:type="dxa"/>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rPr>
          <w:rFonts w:hint="eastAsia" w:ascii="宋体" w:hAnsi="宋体" w:cs="宋体"/>
          <w:color w:val="auto"/>
          <w:szCs w:val="22"/>
          <w:highlight w:val="none"/>
        </w:rPr>
      </w:pPr>
    </w:p>
    <w:p>
      <w:pPr>
        <w:rPr>
          <w:rFonts w:hint="eastAsia" w:ascii="宋体" w:hAnsi="宋体" w:cs="宋体"/>
          <w:color w:val="auto"/>
          <w:szCs w:val="22"/>
          <w:highlight w:val="none"/>
        </w:rPr>
      </w:pPr>
    </w:p>
    <w:p>
      <w:pPr>
        <w:keepNext/>
        <w:keepLines/>
        <w:spacing w:before="120" w:after="120" w:line="360" w:lineRule="auto"/>
        <w:jc w:val="left"/>
        <w:outlineLvl w:val="2"/>
        <w:rPr>
          <w:rFonts w:hint="eastAsia" w:ascii="宋体" w:hAnsi="宋体" w:cs="宋体"/>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pPr>
        <w:keepNext/>
        <w:keepLines/>
        <w:spacing w:before="120" w:after="120" w:line="360" w:lineRule="auto"/>
        <w:jc w:val="left"/>
        <w:outlineLvl w:val="2"/>
        <w:rPr>
          <w:rFonts w:hint="eastAsia" w:ascii="宋体" w:hAnsi="宋体" w:cs="宋体"/>
          <w:bCs/>
          <w:color w:val="auto"/>
          <w:sz w:val="24"/>
          <w:highlight w:val="none"/>
        </w:rPr>
      </w:pPr>
      <w:bookmarkStart w:id="974"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974"/>
    </w:p>
    <w:p>
      <w:pPr>
        <w:adjustRightInd w:val="0"/>
        <w:snapToGrid w:val="0"/>
        <w:spacing w:line="360" w:lineRule="auto"/>
        <w:jc w:val="center"/>
        <w:outlineLvl w:val="0"/>
        <w:rPr>
          <w:rFonts w:hint="eastAsia" w:ascii="宋体" w:hAnsi="宋体" w:cs="宋体"/>
          <w:b/>
          <w:color w:val="auto"/>
          <w:sz w:val="32"/>
          <w:szCs w:val="32"/>
          <w:highlight w:val="none"/>
        </w:rPr>
      </w:pPr>
      <w:bookmarkStart w:id="975" w:name="_Toc95223512"/>
      <w:bookmarkStart w:id="976" w:name="_Toc16956"/>
      <w:bookmarkStart w:id="977" w:name="_Toc32439"/>
      <w:r>
        <w:rPr>
          <w:rFonts w:hint="eastAsia" w:ascii="宋体" w:hAnsi="宋体" w:cs="宋体"/>
          <w:b/>
          <w:color w:val="auto"/>
          <w:sz w:val="32"/>
          <w:szCs w:val="32"/>
          <w:highlight w:val="none"/>
        </w:rPr>
        <w:t>安全生产合同</w:t>
      </w:r>
      <w:bookmarkEnd w:id="975"/>
      <w:bookmarkEnd w:id="976"/>
      <w:bookmarkEnd w:id="977"/>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rPr>
          <w:rFonts w:hint="eastAsia" w:ascii="宋体" w:hAnsi="宋体" w:cs="宋体"/>
          <w:color w:val="auto"/>
          <w:szCs w:val="21"/>
          <w:highlight w:val="none"/>
        </w:rPr>
      </w:pPr>
    </w:p>
    <w:p>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978"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978"/>
    </w:p>
    <w:p>
      <w:pPr>
        <w:keepNext/>
        <w:keepLines/>
        <w:spacing w:before="120" w:after="120" w:line="360" w:lineRule="auto"/>
        <w:jc w:val="left"/>
        <w:outlineLvl w:val="2"/>
        <w:rPr>
          <w:rFonts w:hint="eastAsia" w:ascii="宋体" w:hAnsi="宋体" w:cs="宋体"/>
          <w:bCs/>
          <w:color w:val="auto"/>
          <w:sz w:val="24"/>
          <w:highlight w:val="none"/>
        </w:rPr>
      </w:pPr>
    </w:p>
    <w:p>
      <w:pPr>
        <w:adjustRightInd w:val="0"/>
        <w:snapToGrid w:val="0"/>
        <w:spacing w:line="360" w:lineRule="auto"/>
        <w:jc w:val="center"/>
        <w:outlineLvl w:val="0"/>
        <w:rPr>
          <w:rFonts w:hint="eastAsia" w:ascii="宋体" w:hAnsi="宋体" w:cs="宋体"/>
          <w:b/>
          <w:color w:val="auto"/>
          <w:sz w:val="32"/>
          <w:szCs w:val="32"/>
          <w:highlight w:val="none"/>
        </w:rPr>
      </w:pPr>
      <w:bookmarkStart w:id="979" w:name="_Toc95223514"/>
      <w:bookmarkStart w:id="980" w:name="_Toc19059"/>
      <w:bookmarkStart w:id="981" w:name="_Toc20282"/>
      <w:r>
        <w:rPr>
          <w:rFonts w:hint="eastAsia" w:ascii="宋体" w:hAnsi="宋体" w:cs="宋体"/>
          <w:b/>
          <w:color w:val="auto"/>
          <w:sz w:val="32"/>
          <w:szCs w:val="32"/>
          <w:highlight w:val="none"/>
        </w:rPr>
        <w:t>项目经理质量终身责任制承诺</w:t>
      </w:r>
      <w:bookmarkEnd w:id="979"/>
      <w:bookmarkEnd w:id="980"/>
      <w:bookmarkEnd w:id="981"/>
    </w:p>
    <w:p>
      <w:pPr>
        <w:adjustRightInd w:val="0"/>
        <w:snapToGrid w:val="0"/>
        <w:spacing w:line="360" w:lineRule="auto"/>
        <w:jc w:val="center"/>
        <w:outlineLvl w:val="0"/>
        <w:rPr>
          <w:rFonts w:hint="eastAsia" w:ascii="宋体" w:hAnsi="宋体" w:cs="宋体"/>
          <w:b/>
          <w:color w:val="auto"/>
          <w:sz w:val="32"/>
          <w:szCs w:val="32"/>
          <w:highlight w:val="none"/>
        </w:rPr>
      </w:pPr>
    </w:p>
    <w:p>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pPr>
        <w:spacing w:line="360" w:lineRule="auto"/>
        <w:ind w:left="359" w:leftChars="171" w:firstLine="720" w:firstLineChars="300"/>
        <w:rPr>
          <w:rFonts w:hint="eastAsia" w:ascii="宋体" w:hAnsi="宋体" w:cs="宋体"/>
          <w:bCs/>
          <w:color w:val="auto"/>
          <w:sz w:val="24"/>
          <w:szCs w:val="21"/>
          <w:highlight w:val="none"/>
        </w:rPr>
      </w:pPr>
    </w:p>
    <w:p>
      <w:pPr>
        <w:spacing w:line="360" w:lineRule="auto"/>
        <w:ind w:left="359" w:leftChars="171" w:firstLine="720" w:firstLineChars="300"/>
        <w:rPr>
          <w:rFonts w:hint="eastAsia" w:ascii="宋体" w:hAnsi="宋体" w:cs="宋体"/>
          <w:bCs/>
          <w:color w:val="auto"/>
          <w:sz w:val="24"/>
          <w:szCs w:val="21"/>
          <w:highlight w:val="none"/>
        </w:rPr>
      </w:pPr>
    </w:p>
    <w:p>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pPr>
        <w:pStyle w:val="14"/>
        <w:rPr>
          <w:rFonts w:hint="eastAsia"/>
          <w:color w:val="auto"/>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pStyle w:val="43"/>
        <w:numPr>
          <w:ilvl w:val="0"/>
          <w:numId w:val="10"/>
        </w:numPr>
        <w:spacing w:beforeLines="50" w:afterLines="50" w:line="440" w:lineRule="exact"/>
        <w:rPr>
          <w:rFonts w:hint="eastAsia" w:eastAsia="宋体" w:cs="Times New Roman"/>
          <w:bCs/>
          <w:color w:val="auto"/>
          <w:szCs w:val="32"/>
          <w:highlight w:val="none"/>
        </w:rPr>
      </w:pPr>
      <w:bookmarkStart w:id="982" w:name="_Toc4767"/>
      <w:bookmarkStart w:id="983" w:name="_Toc95223515"/>
      <w:r>
        <w:rPr>
          <w:rFonts w:hint="eastAsia" w:eastAsia="宋体" w:cs="Times New Roman"/>
          <w:bCs/>
          <w:color w:val="auto"/>
          <w:szCs w:val="32"/>
          <w:highlight w:val="none"/>
        </w:rPr>
        <w:t xml:space="preserve"> 工程量清单</w:t>
      </w:r>
      <w:bookmarkEnd w:id="982"/>
      <w:bookmarkEnd w:id="983"/>
    </w:p>
    <w:p>
      <w:pPr>
        <w:adjustRightInd w:val="0"/>
        <w:snapToGrid w:val="0"/>
        <w:spacing w:line="360" w:lineRule="auto"/>
        <w:ind w:firstLine="422" w:firstLineChars="200"/>
        <w:rPr>
          <w:rFonts w:hint="eastAsia" w:ascii="宋体" w:hAnsi="宋体" w:cs="宋体"/>
          <w:b/>
          <w:bCs/>
          <w:color w:val="auto"/>
          <w:szCs w:val="21"/>
          <w:highlight w:val="none"/>
        </w:rPr>
      </w:pPr>
      <w:bookmarkStart w:id="984" w:name="_Toc1620"/>
      <w:bookmarkStart w:id="985" w:name="_Toc95223516"/>
      <w:r>
        <w:rPr>
          <w:rFonts w:hint="eastAsia" w:ascii="宋体" w:hAnsi="宋体" w:cs="宋体"/>
          <w:b/>
          <w:bCs/>
          <w:color w:val="auto"/>
          <w:szCs w:val="21"/>
          <w:highlight w:val="none"/>
        </w:rPr>
        <w:t>1. 计价依据</w:t>
      </w:r>
      <w:bookmarkEnd w:id="984"/>
      <w:bookmarkEnd w:id="985"/>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1.2 安全文明施工费</w:t>
      </w:r>
      <w:r>
        <w:rPr>
          <w:rFonts w:hint="eastAsia" w:ascii="宋体" w:hAnsi="宋体" w:cs="宋体"/>
          <w:color w:val="auto"/>
          <w:szCs w:val="21"/>
          <w:highlight w:val="none"/>
          <w:lang w:val="en-US" w:eastAsia="zh-CN"/>
        </w:rPr>
        <w:t>详见工程量清单内容</w:t>
      </w:r>
      <w:r>
        <w:rPr>
          <w:rFonts w:hint="eastAsia" w:ascii="宋体" w:hAnsi="宋体" w:cs="宋体"/>
          <w:color w:val="auto"/>
          <w:szCs w:val="21"/>
          <w:highlight w:val="none"/>
          <w:lang w:eastAsia="zh-CN"/>
        </w:rPr>
        <w:t>。</w:t>
      </w:r>
    </w:p>
    <w:p>
      <w:pPr>
        <w:adjustRightInd w:val="0"/>
        <w:snapToGrid w:val="0"/>
        <w:spacing w:line="360" w:lineRule="auto"/>
        <w:ind w:firstLine="422" w:firstLineChars="200"/>
        <w:rPr>
          <w:rFonts w:hint="eastAsia" w:ascii="宋体" w:hAnsi="宋体" w:cs="宋体"/>
          <w:b/>
          <w:bCs/>
          <w:color w:val="auto"/>
          <w:szCs w:val="21"/>
          <w:highlight w:val="none"/>
        </w:rPr>
      </w:pPr>
      <w:bookmarkStart w:id="986" w:name="_Toc95223517"/>
      <w:bookmarkStart w:id="987" w:name="_Toc7039"/>
      <w:r>
        <w:rPr>
          <w:rFonts w:hint="eastAsia" w:ascii="宋体" w:hAnsi="宋体" w:cs="宋体"/>
          <w:b/>
          <w:bCs/>
          <w:color w:val="auto"/>
          <w:szCs w:val="21"/>
          <w:highlight w:val="none"/>
        </w:rPr>
        <w:t>2. 工程造价确定</w:t>
      </w:r>
      <w:bookmarkEnd w:id="986"/>
      <w:bookmarkEnd w:id="987"/>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本项目采用工程量清单计价。</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pPr>
        <w:adjustRightInd w:val="0"/>
        <w:snapToGrid w:val="0"/>
        <w:spacing w:line="360" w:lineRule="auto"/>
        <w:ind w:firstLine="422" w:firstLineChars="200"/>
        <w:rPr>
          <w:rFonts w:hint="eastAsia" w:ascii="宋体" w:hAnsi="宋体" w:cs="宋体"/>
          <w:color w:val="auto"/>
          <w:szCs w:val="21"/>
          <w:highlight w:val="none"/>
        </w:rPr>
      </w:pPr>
      <w:bookmarkStart w:id="988" w:name="_Toc95223518"/>
      <w:bookmarkStart w:id="989" w:name="_Toc19788"/>
      <w:r>
        <w:rPr>
          <w:rFonts w:hint="eastAsia" w:ascii="宋体" w:hAnsi="宋体" w:cs="宋体"/>
          <w:b/>
          <w:bCs/>
          <w:color w:val="auto"/>
          <w:szCs w:val="21"/>
          <w:highlight w:val="none"/>
        </w:rPr>
        <w:t>3. 招标工程量清单编制要求</w:t>
      </w:r>
      <w:bookmarkEnd w:id="988"/>
      <w:bookmarkEnd w:id="989"/>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pPr>
        <w:adjustRightInd w:val="0"/>
        <w:snapToGrid w:val="0"/>
        <w:spacing w:line="360" w:lineRule="auto"/>
        <w:ind w:firstLine="422" w:firstLineChars="200"/>
        <w:rPr>
          <w:rFonts w:hint="eastAsia" w:ascii="宋体" w:hAnsi="宋体" w:cs="宋体"/>
          <w:color w:val="auto"/>
          <w:szCs w:val="21"/>
          <w:highlight w:val="none"/>
        </w:rPr>
      </w:pPr>
      <w:bookmarkStart w:id="990" w:name="_Toc23910"/>
      <w:bookmarkStart w:id="991" w:name="_Toc95223519"/>
      <w:r>
        <w:rPr>
          <w:rFonts w:hint="eastAsia" w:ascii="宋体" w:hAnsi="宋体" w:cs="宋体"/>
          <w:b/>
          <w:bCs/>
          <w:color w:val="auto"/>
          <w:szCs w:val="21"/>
          <w:highlight w:val="none"/>
        </w:rPr>
        <w:t>4. 最高投标限价编制要求</w:t>
      </w:r>
      <w:bookmarkEnd w:id="990"/>
      <w:bookmarkEnd w:id="991"/>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依据招标人提供的招标文件、施工图纸和本工程招标清单中所有内容；</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《建设工程工程量清单计价规范》(GB50500-2013)；</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2018版《安徽省建设工程工程量清单计价办法》；</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省、市截止202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年4月的有关政策性文件；</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最高投标限价为本次招标工程限定的最高投标限价。</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分部分项工程费按本招标文件的分部分项工程量清单的特征描述及有关要求，结合第4.1款编制依据确定。</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（1）综合单价中人工和施工机械台班单价按省级和工程所在地的市级工程造价管理机构公布的单价计算；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（2）综合单价中材料、工程设备单价按省级和工程所在地的市级工程造价管理机构公布的单价以及本招标文件规定的暂估价、市场调查价格计算；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（3）本招标文件中列有材料、设备暂估价的，按暂估价计算；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（4）综合单价中人工、材料和施工机械台班消耗量均按2018版安徽省定额消耗量计算；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（5）综合单价中综合费费率按2018版安徽省建设工程计价依据；</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（6）综合单价中应包括招标文件约定的应由投标人承担的风险范围及其费用，风险按本招标文件第4.1款约定计算。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 不可竞争费（含安全文明施工费、环境保护税）按本招标文件中的不可竞争项目清单编制确定。</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 其他项目费用应按照下列规定计价:</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（1）暂列金额按招标工程量清单中列出的金额填写；</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（2）专业工程暂估价按招标工程量清单中列出的金额填写；</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（3）计日工按招标人列出项目和数量，结合第4.1款编制依据的要求确定综合单价并计算费用； </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（4）总承包服务费根据招标文件列出的内容和要求计算。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 税金（增值税）按税金项目清单，结合第4.1款编制依据的要求编制，不得降低标准。</w:t>
      </w:r>
    </w:p>
    <w:p>
      <w:pPr>
        <w:adjustRightInd w:val="0"/>
        <w:snapToGrid w:val="0"/>
        <w:spacing w:line="360" w:lineRule="auto"/>
        <w:ind w:firstLine="422" w:firstLineChars="200"/>
        <w:rPr>
          <w:rFonts w:hint="eastAsia" w:ascii="宋体" w:hAnsi="宋体" w:cs="宋体"/>
          <w:b/>
          <w:bCs/>
          <w:color w:val="auto"/>
          <w:szCs w:val="21"/>
          <w:highlight w:val="none"/>
        </w:rPr>
      </w:pPr>
      <w:bookmarkStart w:id="992" w:name="_Toc4166"/>
      <w:bookmarkStart w:id="993" w:name="_Toc95223520"/>
      <w:r>
        <w:rPr>
          <w:rFonts w:hint="eastAsia" w:ascii="宋体" w:hAnsi="宋体" w:cs="宋体"/>
          <w:b/>
          <w:bCs/>
          <w:color w:val="auto"/>
          <w:szCs w:val="21"/>
          <w:highlight w:val="none"/>
        </w:rPr>
        <w:t>5. 投标报价参考编制要求</w:t>
      </w:r>
      <w:bookmarkEnd w:id="992"/>
      <w:bookmarkEnd w:id="993"/>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（5）《2018版安徽省建设工程计价依据部分修编内容》（安徽省住房和城乡建设厅公告第53号）</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不可竞争费（含安全文明施工费、环境保护税）根据工程量清单不可竞争项目，结合第5.1款编制依据确定，安全文明施工费费率不得调整。</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程量误差超过±3%的，招标人应进行修正并重新公布准确的工程量清单；</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除合同另有约定外，中标人在工程量清单报价书中所报的综合单价在施工图纸和合同约定范围一律不予调整；</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（7）本招标工程不接受恶意不平衡报价，不保证最低价中标。</w:t>
      </w:r>
    </w:p>
    <w:p>
      <w:pPr>
        <w:adjustRightInd w:val="0"/>
        <w:snapToGrid w:val="0"/>
        <w:spacing w:line="360" w:lineRule="auto"/>
        <w:ind w:firstLine="422" w:firstLineChars="200"/>
        <w:rPr>
          <w:rFonts w:hint="eastAsia" w:ascii="宋体" w:hAnsi="宋体" w:cs="宋体"/>
          <w:color w:val="auto"/>
          <w:szCs w:val="21"/>
          <w:highlight w:val="none"/>
        </w:rPr>
      </w:pPr>
      <w:bookmarkStart w:id="994" w:name="_Toc95223521"/>
      <w:bookmarkStart w:id="995" w:name="_Toc4881"/>
      <w:r>
        <w:rPr>
          <w:rFonts w:hint="eastAsia" w:ascii="宋体" w:hAnsi="宋体" w:cs="宋体"/>
          <w:b/>
          <w:bCs/>
          <w:color w:val="auto"/>
          <w:szCs w:val="21"/>
          <w:highlight w:val="none"/>
        </w:rPr>
        <w:t>6. 工程量清单</w:t>
      </w:r>
      <w:bookmarkEnd w:id="994"/>
      <w:bookmarkEnd w:id="995"/>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pPr>
        <w:pStyle w:val="43"/>
        <w:numPr>
          <w:ilvl w:val="0"/>
          <w:numId w:val="10"/>
        </w:numPr>
        <w:spacing w:beforeLines="50" w:afterLines="50" w:line="440" w:lineRule="exact"/>
        <w:jc w:val="center"/>
        <w:rPr>
          <w:rFonts w:hint="eastAsia" w:eastAsia="宋体" w:cs="Times New Roman"/>
          <w:bCs/>
          <w:color w:val="auto"/>
          <w:szCs w:val="32"/>
          <w:highlight w:val="none"/>
        </w:rPr>
      </w:pPr>
      <w:r>
        <w:rPr>
          <w:rFonts w:hint="eastAsia" w:eastAsia="宋体" w:cs="Times New Roman"/>
          <w:bCs/>
          <w:color w:val="auto"/>
          <w:szCs w:val="32"/>
          <w:highlight w:val="none"/>
          <w:lang w:val="en-US" w:eastAsia="zh-CN"/>
        </w:rPr>
        <w:t>图纸</w:t>
      </w:r>
    </w:p>
    <w:p>
      <w:pPr>
        <w:pStyle w:val="43"/>
        <w:numPr>
          <w:ilvl w:val="0"/>
          <w:numId w:val="0"/>
        </w:numPr>
        <w:spacing w:beforeLines="50" w:afterLines="50" w:line="440" w:lineRule="exact"/>
        <w:jc w:val="center"/>
        <w:rPr>
          <w:rFonts w:hint="eastAsia" w:eastAsia="宋体" w:cs="Times New Roman"/>
          <w:bCs/>
          <w:color w:val="auto"/>
          <w:szCs w:val="32"/>
          <w:highlight w:val="none"/>
        </w:rPr>
      </w:pPr>
      <w:r>
        <w:rPr>
          <w:rFonts w:hint="eastAsia" w:eastAsia="宋体" w:cs="Times New Roman"/>
          <w:bCs/>
          <w:color w:val="auto"/>
          <w:szCs w:val="32"/>
          <w:highlight w:val="none"/>
          <w:lang w:val="en-US" w:eastAsia="zh-CN"/>
        </w:rPr>
        <w:t>另附</w:t>
      </w:r>
    </w:p>
    <w:p>
      <w:pPr>
        <w:pStyle w:val="43"/>
        <w:numPr>
          <w:ilvl w:val="0"/>
          <w:numId w:val="0"/>
        </w:numPr>
        <w:spacing w:beforeLines="50" w:afterLines="50" w:line="440" w:lineRule="exact"/>
        <w:jc w:val="both"/>
        <w:rPr>
          <w:rFonts w:hint="eastAsia" w:eastAsia="宋体" w:cs="Times New Roman"/>
          <w:bCs/>
          <w:color w:val="auto"/>
          <w:szCs w:val="32"/>
          <w:highlight w:val="none"/>
        </w:rPr>
      </w:pPr>
    </w:p>
    <w:p>
      <w:pPr>
        <w:rPr>
          <w:rFonts w:hint="eastAsia"/>
          <w:bCs/>
          <w:color w:val="auto"/>
          <w:szCs w:val="32"/>
          <w:highlight w:val="none"/>
        </w:rPr>
      </w:pPr>
      <w:r>
        <w:rPr>
          <w:rFonts w:hint="eastAsia"/>
          <w:bCs/>
          <w:color w:val="auto"/>
          <w:szCs w:val="32"/>
          <w:highlight w:val="none"/>
        </w:rPr>
        <w:br w:type="page"/>
      </w:r>
    </w:p>
    <w:p>
      <w:pPr>
        <w:pStyle w:val="43"/>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投标文件格式</w:t>
      </w:r>
      <w:bookmarkEnd w:id="888"/>
      <w:bookmarkEnd w:id="889"/>
      <w:bookmarkEnd w:id="890"/>
      <w:bookmarkEnd w:id="891"/>
      <w:bookmarkEnd w:id="892"/>
      <w:bookmarkEnd w:id="893"/>
      <w:bookmarkEnd w:id="894"/>
      <w:bookmarkEnd w:id="895"/>
      <w:bookmarkEnd w:id="896"/>
      <w:bookmarkEnd w:id="897"/>
      <w:bookmarkEnd w:id="898"/>
      <w:bookmarkEnd w:id="899"/>
      <w:bookmarkEnd w:id="900"/>
    </w:p>
    <w:p>
      <w:pPr>
        <w:rPr>
          <w:color w:val="auto"/>
          <w:highlight w:val="none"/>
        </w:rPr>
      </w:pPr>
    </w:p>
    <w:p>
      <w:pPr>
        <w:rPr>
          <w:color w:val="auto"/>
          <w:highlight w:val="none"/>
        </w:rPr>
      </w:pPr>
    </w:p>
    <w:p>
      <w:pPr>
        <w:rPr>
          <w:color w:val="auto"/>
          <w:highlight w:val="none"/>
        </w:rPr>
      </w:pPr>
    </w:p>
    <w:p>
      <w:pPr>
        <w:jc w:val="center"/>
        <w:rPr>
          <w:rFonts w:eastAsia="黑体"/>
          <w:color w:val="auto"/>
          <w:sz w:val="20"/>
          <w:szCs w:val="20"/>
          <w:highlight w:val="none"/>
        </w:rPr>
      </w:pPr>
      <w:r>
        <w:rPr>
          <w:rFonts w:eastAsia="黑体"/>
          <w:color w:val="auto"/>
          <w:sz w:val="28"/>
          <w:szCs w:val="28"/>
          <w:highlight w:val="none"/>
        </w:rPr>
        <w:t>（项目名称）</w:t>
      </w:r>
    </w:p>
    <w:p>
      <w:pPr>
        <w:jc w:val="center"/>
        <w:rPr>
          <w:rFonts w:eastAsia="黑体"/>
          <w:color w:val="auto"/>
          <w:sz w:val="20"/>
          <w:szCs w:val="20"/>
          <w:highlight w:val="none"/>
        </w:rPr>
      </w:pPr>
    </w:p>
    <w:p>
      <w:pPr>
        <w:jc w:val="center"/>
        <w:rPr>
          <w:rFonts w:eastAsia="黑体"/>
          <w:color w:val="auto"/>
          <w:sz w:val="20"/>
          <w:szCs w:val="20"/>
          <w:highlight w:val="none"/>
        </w:rPr>
      </w:pPr>
    </w:p>
    <w:p>
      <w:pPr>
        <w:jc w:val="cente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pPr>
        <w:jc w:val="center"/>
        <w:rPr>
          <w:rFonts w:eastAsia="黑体"/>
          <w:color w:val="auto"/>
          <w:sz w:val="44"/>
          <w:szCs w:val="44"/>
          <w:highlight w:val="none"/>
        </w:rPr>
      </w:pPr>
      <w:r>
        <w:rPr>
          <w:rFonts w:hint="eastAsia" w:eastAsia="黑体"/>
          <w:color w:val="auto"/>
          <w:sz w:val="44"/>
          <w:szCs w:val="44"/>
          <w:highlight w:val="none"/>
        </w:rPr>
        <w:t>（资信证明文件）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pStyle w:val="14"/>
        <w:ind w:firstLine="420"/>
        <w:rPr>
          <w:rFonts w:ascii="Times New Roman"/>
          <w:color w:val="auto"/>
          <w:szCs w:val="24"/>
          <w:highlight w:val="none"/>
        </w:rPr>
      </w:pPr>
    </w:p>
    <w:p>
      <w:pPr>
        <w:rPr>
          <w:rFonts w:ascii="Times New Roman"/>
          <w:color w:val="auto"/>
          <w:szCs w:val="24"/>
          <w:highlight w:val="none"/>
        </w:rPr>
      </w:pPr>
    </w:p>
    <w:p>
      <w:pPr>
        <w:pStyle w:val="14"/>
        <w:rPr>
          <w:rFonts w:ascii="Times New Roman"/>
          <w:color w:val="auto"/>
          <w:szCs w:val="24"/>
          <w:highlight w:val="none"/>
        </w:rPr>
      </w:pPr>
    </w:p>
    <w:p>
      <w:pPr>
        <w:rPr>
          <w:rFonts w:ascii="Times New Roman"/>
          <w:color w:val="auto"/>
          <w:szCs w:val="24"/>
          <w:highlight w:val="none"/>
        </w:rPr>
      </w:pPr>
    </w:p>
    <w:p>
      <w:pPr>
        <w:pStyle w:val="14"/>
        <w:rPr>
          <w:color w:val="auto"/>
          <w:highlight w:val="none"/>
        </w:rPr>
      </w:pPr>
    </w:p>
    <w:p>
      <w:pPr>
        <w:pStyle w:val="14"/>
        <w:ind w:firstLine="420"/>
        <w:rPr>
          <w:color w:val="auto"/>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pPr>
        <w:rPr>
          <w:color w:val="auto"/>
          <w:highlight w:val="none"/>
        </w:rPr>
      </w:pPr>
      <w:bookmarkStart w:id="996" w:name="_Toc35425137"/>
      <w:bookmarkStart w:id="997" w:name="_Toc12683"/>
      <w:bookmarkStart w:id="998" w:name="_Toc35424971"/>
    </w:p>
    <w:p>
      <w:pPr>
        <w:spacing w:beforeLines="50" w:afterLines="50" w:line="440" w:lineRule="exact"/>
        <w:ind w:firstLine="643" w:firstLineChars="200"/>
        <w:jc w:val="left"/>
        <w:rPr>
          <w:rFonts w:ascii="宋体" w:hAnsi="宋体" w:cs="宋体"/>
          <w:b/>
          <w:color w:val="auto"/>
          <w:sz w:val="28"/>
          <w:szCs w:val="28"/>
          <w:highlight w:val="none"/>
        </w:rPr>
      </w:pPr>
      <w:bookmarkStart w:id="999" w:name="_Toc78803399"/>
      <w:r>
        <w:rPr>
          <w:rStyle w:val="65"/>
          <w:rFonts w:hint="eastAsia" w:ascii="宋体" w:hAnsi="宋体" w:cs="宋体"/>
          <w:color w:val="auto"/>
          <w:sz w:val="32"/>
          <w:highlight w:val="none"/>
        </w:rPr>
        <w:br w:type="page"/>
      </w:r>
      <w:r>
        <w:rPr>
          <w:rStyle w:val="65"/>
          <w:rFonts w:hint="eastAsia" w:ascii="宋体" w:hAnsi="宋体" w:cs="宋体"/>
          <w:color w:val="auto"/>
          <w:sz w:val="32"/>
          <w:highlight w:val="none"/>
        </w:rPr>
        <w:t>投标文件一</w:t>
      </w:r>
      <w:bookmarkEnd w:id="996"/>
      <w:bookmarkEnd w:id="997"/>
      <w:bookmarkEnd w:id="998"/>
      <w:bookmarkEnd w:id="999"/>
      <w:r>
        <w:rPr>
          <w:rFonts w:hint="eastAsia" w:ascii="宋体" w:hAnsi="宋体" w:cs="宋体"/>
          <w:b/>
          <w:color w:val="auto"/>
          <w:sz w:val="28"/>
          <w:szCs w:val="28"/>
          <w:highlight w:val="none"/>
        </w:rPr>
        <w:t>：资信证明文件目录</w:t>
      </w:r>
    </w:p>
    <w:p>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资信标</w:t>
      </w:r>
      <w:r>
        <w:rPr>
          <w:rFonts w:hint="eastAsia" w:ascii="宋体" w:hAnsi="宋体" w:cs="宋体"/>
          <w:color w:val="auto"/>
          <w:szCs w:val="21"/>
          <w:highlight w:val="none"/>
        </w:rPr>
        <w:t>投标人认为需要的其它证明材料。</w:t>
      </w:r>
    </w:p>
    <w:p>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pPr>
        <w:pStyle w:val="77"/>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1000" w:name="_Toc506107356"/>
      <w:bookmarkStart w:id="1001" w:name="_Toc503196197"/>
      <w:bookmarkStart w:id="1002" w:name="_Toc26598"/>
      <w:r>
        <w:rPr>
          <w:rFonts w:hint="eastAsia" w:ascii="宋体"/>
          <w:color w:val="auto"/>
          <w:sz w:val="24"/>
          <w:szCs w:val="24"/>
          <w:highlight w:val="none"/>
        </w:rPr>
        <w:t>1、法定代表人身份证明</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pPr>
        <w:keepNext w:val="0"/>
        <w:keepLines w:val="0"/>
        <w:pageBreakBefore w:val="0"/>
        <w:kinsoku/>
        <w:wordWrap/>
        <w:overflowPunct/>
        <w:topLinePunct w:val="0"/>
        <w:autoSpaceDE/>
        <w:autoSpaceDN/>
        <w:bidi w:val="0"/>
        <w:adjustRightInd/>
        <w:snapToGrid/>
        <w:spacing w:line="440" w:lineRule="exact"/>
        <w:rPr>
          <w:color w:val="auto"/>
          <w:highlight w:val="none"/>
        </w:rPr>
      </w:pPr>
    </w:p>
    <w:p>
      <w:pPr>
        <w:pStyle w:val="77"/>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00"/>
      <w:bookmarkEnd w:id="1001"/>
      <w:bookmarkEnd w:id="1002"/>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总监理工程师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投标人（盖章）：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color w:val="auto"/>
          <w:highlight w:val="none"/>
        </w:rPr>
      </w:pPr>
      <w:r>
        <w:rPr>
          <w:rFonts w:hint="eastAsia" w:ascii="宋体" w:hAnsi="宋体"/>
          <w:color w:val="auto"/>
          <w:szCs w:val="21"/>
          <w:highlight w:val="none"/>
        </w:rPr>
        <w:t>日期：    年   月   日</w:t>
      </w:r>
    </w:p>
    <w:p>
      <w:pPr>
        <w:rPr>
          <w:rFonts w:eastAsia="黑体"/>
          <w:color w:val="auto"/>
          <w:sz w:val="28"/>
          <w:szCs w:val="28"/>
          <w:highlight w:val="none"/>
          <w:u w:val="single"/>
        </w:rPr>
      </w:pPr>
      <w:r>
        <w:rPr>
          <w:rFonts w:hint="eastAsia" w:ascii="宋体" w:hAnsi="宋体"/>
          <w:b/>
          <w:color w:val="auto"/>
          <w:sz w:val="32"/>
          <w:szCs w:val="32"/>
          <w:highlight w:val="none"/>
        </w:rPr>
        <w:br w:type="page"/>
      </w:r>
    </w:p>
    <w:p>
      <w:pPr>
        <w:jc w:val="center"/>
        <w:rPr>
          <w:rFonts w:eastAsia="黑体"/>
          <w:color w:val="auto"/>
          <w:sz w:val="28"/>
          <w:szCs w:val="28"/>
          <w:highlight w:val="none"/>
        </w:rPr>
      </w:pPr>
    </w:p>
    <w:p>
      <w:pPr>
        <w:jc w:val="center"/>
        <w:rPr>
          <w:rFonts w:eastAsia="黑体"/>
          <w:color w:val="auto"/>
          <w:sz w:val="20"/>
          <w:szCs w:val="20"/>
          <w:highlight w:val="none"/>
        </w:rPr>
      </w:pPr>
      <w:r>
        <w:rPr>
          <w:rFonts w:eastAsia="黑体"/>
          <w:color w:val="auto"/>
          <w:sz w:val="28"/>
          <w:szCs w:val="28"/>
          <w:highlight w:val="none"/>
        </w:rPr>
        <w:t>（项目名称）</w:t>
      </w:r>
    </w:p>
    <w:p>
      <w:pPr>
        <w:jc w:val="cente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pPr>
        <w:jc w:val="center"/>
        <w:rPr>
          <w:rFonts w:eastAsia="黑体"/>
          <w:color w:val="auto"/>
          <w:sz w:val="44"/>
          <w:szCs w:val="44"/>
          <w:highlight w:val="none"/>
        </w:rPr>
      </w:pPr>
      <w:r>
        <w:rPr>
          <w:rFonts w:hint="eastAsia" w:eastAsia="黑体"/>
          <w:color w:val="auto"/>
          <w:sz w:val="44"/>
          <w:szCs w:val="44"/>
          <w:highlight w:val="none"/>
        </w:rPr>
        <w:t>（技术标文件）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pStyle w:val="14"/>
        <w:ind w:firstLine="560"/>
        <w:rPr>
          <w:rFonts w:eastAsia="黑体"/>
          <w:color w:val="auto"/>
          <w:sz w:val="28"/>
          <w:szCs w:val="28"/>
          <w:highlight w:val="none"/>
        </w:rPr>
      </w:pPr>
    </w:p>
    <w:p>
      <w:pPr>
        <w:rPr>
          <w:rFonts w:eastAsia="黑体"/>
          <w:color w:val="auto"/>
          <w:sz w:val="28"/>
          <w:szCs w:val="28"/>
          <w:highlight w:val="none"/>
        </w:rPr>
      </w:pPr>
    </w:p>
    <w:p>
      <w:pPr>
        <w:pStyle w:val="14"/>
        <w:ind w:firstLine="560"/>
        <w:rPr>
          <w:rFonts w:eastAsia="黑体"/>
          <w:color w:val="auto"/>
          <w:sz w:val="28"/>
          <w:szCs w:val="28"/>
          <w:highlight w:val="none"/>
        </w:rPr>
      </w:pPr>
    </w:p>
    <w:p>
      <w:pPr>
        <w:rPr>
          <w:color w:val="auto"/>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bookmarkStart w:id="1003" w:name="_Toc35425138"/>
      <w:bookmarkStart w:id="1004" w:name="_Toc35424972"/>
      <w:bookmarkStart w:id="1005" w:name="_Toc3395"/>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pPr>
        <w:spacing w:line="540" w:lineRule="exact"/>
        <w:rPr>
          <w:rStyle w:val="65"/>
          <w:rFonts w:ascii="宋体" w:hAnsi="宋体" w:cs="宋体"/>
          <w:color w:val="auto"/>
          <w:sz w:val="32"/>
          <w:highlight w:val="none"/>
        </w:rPr>
      </w:pPr>
    </w:p>
    <w:p>
      <w:pPr>
        <w:spacing w:beforeLines="50" w:afterLines="50" w:line="440" w:lineRule="exact"/>
        <w:ind w:firstLine="643" w:firstLineChars="200"/>
        <w:jc w:val="left"/>
        <w:rPr>
          <w:rStyle w:val="65"/>
          <w:rFonts w:ascii="宋体" w:hAnsi="宋体" w:cs="宋体"/>
          <w:color w:val="auto"/>
          <w:sz w:val="32"/>
          <w:highlight w:val="none"/>
        </w:rPr>
      </w:pPr>
      <w:bookmarkStart w:id="1006" w:name="_Toc78803400"/>
      <w:r>
        <w:rPr>
          <w:rStyle w:val="65"/>
          <w:rFonts w:hint="eastAsia" w:ascii="宋体" w:hAnsi="宋体" w:cs="宋体"/>
          <w:color w:val="auto"/>
          <w:sz w:val="32"/>
          <w:highlight w:val="none"/>
        </w:rPr>
        <w:br w:type="page"/>
      </w:r>
      <w:r>
        <w:rPr>
          <w:rStyle w:val="65"/>
          <w:rFonts w:hint="eastAsia" w:ascii="宋体" w:hAnsi="宋体" w:cs="宋体"/>
          <w:color w:val="auto"/>
          <w:sz w:val="32"/>
          <w:highlight w:val="none"/>
        </w:rPr>
        <w:t>投标文件二</w:t>
      </w:r>
      <w:bookmarkEnd w:id="1003"/>
      <w:bookmarkEnd w:id="1004"/>
      <w:bookmarkEnd w:id="1005"/>
      <w:r>
        <w:rPr>
          <w:rStyle w:val="65"/>
          <w:rFonts w:hint="eastAsia" w:ascii="宋体" w:hAnsi="宋体" w:cs="宋体"/>
          <w:color w:val="auto"/>
          <w:sz w:val="32"/>
          <w:highlight w:val="none"/>
        </w:rPr>
        <w:t>：技术标目录</w:t>
      </w:r>
      <w:bookmarkEnd w:id="1006"/>
    </w:p>
    <w:p>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技术标</w:t>
      </w:r>
      <w:r>
        <w:rPr>
          <w:rFonts w:hint="eastAsia" w:ascii="宋体" w:hAnsi="宋体" w:cs="宋体"/>
          <w:color w:val="auto"/>
          <w:szCs w:val="21"/>
          <w:highlight w:val="none"/>
        </w:rPr>
        <w:t>投标人认为需要的材料</w:t>
      </w:r>
      <w:r>
        <w:rPr>
          <w:rFonts w:hint="eastAsia" w:ascii="宋体" w:hAnsi="宋体" w:cs="宋体"/>
          <w:bCs/>
          <w:color w:val="auto"/>
          <w:szCs w:val="21"/>
          <w:highlight w:val="none"/>
        </w:rPr>
        <w:t>。</w:t>
      </w:r>
    </w:p>
    <w:p>
      <w:pPr>
        <w:spacing w:line="360" w:lineRule="auto"/>
        <w:ind w:firstLine="420" w:firstLineChars="200"/>
        <w:rPr>
          <w:rFonts w:ascii="宋体" w:hAnsi="宋体"/>
          <w:color w:val="auto"/>
          <w:szCs w:val="21"/>
          <w:highlight w:val="none"/>
        </w:rPr>
      </w:pPr>
    </w:p>
    <w:p>
      <w:pPr>
        <w:rPr>
          <w:color w:val="auto"/>
          <w:highlight w:val="none"/>
        </w:rPr>
      </w:pPr>
    </w:p>
    <w:p>
      <w:pPr>
        <w:rPr>
          <w:color w:val="auto"/>
          <w:highlight w:val="none"/>
        </w:rPr>
      </w:pPr>
    </w:p>
    <w:p>
      <w:pPr>
        <w:pStyle w:val="16"/>
        <w:rPr>
          <w:color w:val="auto"/>
          <w:highlight w:val="none"/>
        </w:rPr>
      </w:pPr>
      <w:r>
        <w:rPr>
          <w:color w:val="auto"/>
          <w:highlight w:val="none"/>
        </w:rPr>
        <w:br w:type="page"/>
      </w:r>
    </w:p>
    <w:p>
      <w:pPr>
        <w:rPr>
          <w:color w:val="auto"/>
          <w:highlight w:val="none"/>
        </w:rPr>
      </w:pPr>
    </w:p>
    <w:p>
      <w:pPr>
        <w:jc w:val="center"/>
        <w:rPr>
          <w:rFonts w:eastAsia="黑体"/>
          <w:color w:val="auto"/>
          <w:sz w:val="20"/>
          <w:szCs w:val="20"/>
          <w:highlight w:val="none"/>
        </w:rPr>
      </w:pPr>
      <w:r>
        <w:rPr>
          <w:rFonts w:eastAsia="黑体"/>
          <w:color w:val="auto"/>
          <w:sz w:val="28"/>
          <w:szCs w:val="28"/>
          <w:highlight w:val="none"/>
        </w:rPr>
        <w:t>（项目名称）</w:t>
      </w:r>
    </w:p>
    <w:p>
      <w:pPr>
        <w:jc w:val="cente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pPr>
        <w:jc w:val="center"/>
        <w:rPr>
          <w:rFonts w:eastAsia="黑体"/>
          <w:color w:val="auto"/>
          <w:sz w:val="44"/>
          <w:szCs w:val="44"/>
          <w:highlight w:val="none"/>
        </w:rPr>
      </w:pPr>
      <w:r>
        <w:rPr>
          <w:rFonts w:hint="eastAsia" w:eastAsia="黑体"/>
          <w:color w:val="auto"/>
          <w:sz w:val="44"/>
          <w:szCs w:val="44"/>
          <w:highlight w:val="none"/>
        </w:rPr>
        <w:t>（商务标文件）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pPr>
        <w:rPr>
          <w:color w:val="auto"/>
          <w:highlight w:val="none"/>
        </w:rPr>
      </w:pPr>
    </w:p>
    <w:p>
      <w:pPr>
        <w:pStyle w:val="14"/>
        <w:ind w:firstLine="420"/>
        <w:rPr>
          <w:color w:val="auto"/>
          <w:highlight w:val="none"/>
        </w:rPr>
      </w:pPr>
    </w:p>
    <w:p>
      <w:pPr>
        <w:rPr>
          <w:color w:val="auto"/>
          <w:highlight w:val="none"/>
        </w:rPr>
      </w:pPr>
    </w:p>
    <w:p>
      <w:pPr>
        <w:spacing w:beforeLines="50" w:afterLines="50" w:line="440" w:lineRule="exact"/>
        <w:ind w:firstLine="643" w:firstLineChars="200"/>
        <w:jc w:val="left"/>
        <w:rPr>
          <w:rStyle w:val="65"/>
          <w:rFonts w:ascii="宋体" w:hAnsi="宋体" w:cs="宋体"/>
          <w:color w:val="auto"/>
          <w:sz w:val="32"/>
          <w:highlight w:val="none"/>
        </w:rPr>
      </w:pPr>
      <w:bookmarkStart w:id="1007" w:name="_Toc35424973"/>
      <w:bookmarkStart w:id="1008" w:name="_Toc19174"/>
      <w:bookmarkStart w:id="1009" w:name="_Toc35425139"/>
      <w:bookmarkStart w:id="1010" w:name="_Toc78803401"/>
      <w:r>
        <w:rPr>
          <w:rStyle w:val="65"/>
          <w:rFonts w:hint="eastAsia" w:ascii="宋体" w:hAnsi="宋体" w:cs="宋体"/>
          <w:color w:val="auto"/>
          <w:sz w:val="32"/>
          <w:highlight w:val="none"/>
        </w:rPr>
        <w:br w:type="page"/>
      </w:r>
      <w:r>
        <w:rPr>
          <w:rStyle w:val="65"/>
          <w:rFonts w:hint="eastAsia" w:ascii="宋体" w:hAnsi="宋体" w:cs="宋体"/>
          <w:color w:val="auto"/>
          <w:sz w:val="32"/>
          <w:highlight w:val="none"/>
        </w:rPr>
        <w:t>投标文件三</w:t>
      </w:r>
      <w:bookmarkEnd w:id="1007"/>
      <w:bookmarkEnd w:id="1008"/>
      <w:bookmarkEnd w:id="1009"/>
      <w:r>
        <w:rPr>
          <w:rStyle w:val="65"/>
          <w:rFonts w:hint="eastAsia" w:ascii="宋体" w:hAnsi="宋体" w:cs="宋体"/>
          <w:color w:val="auto"/>
          <w:sz w:val="32"/>
          <w:highlight w:val="none"/>
        </w:rPr>
        <w:t>：商务标目录</w:t>
      </w:r>
      <w:bookmarkEnd w:id="1010"/>
    </w:p>
    <w:p>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）工程量清单报价书（“工程量清单计价文件”格式）；</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商务标</w:t>
      </w:r>
      <w:r>
        <w:rPr>
          <w:rFonts w:hint="eastAsia" w:ascii="宋体" w:hAnsi="宋体" w:cs="宋体"/>
          <w:color w:val="auto"/>
          <w:szCs w:val="21"/>
          <w:highlight w:val="none"/>
        </w:rPr>
        <w:t>投标人认为需要提供的其他材料。</w:t>
      </w: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spacing w:line="360" w:lineRule="auto"/>
        <w:rPr>
          <w:b/>
          <w:bCs/>
          <w:color w:val="auto"/>
          <w:sz w:val="32"/>
          <w:szCs w:val="32"/>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11" w:name="_Toc15058950"/>
      <w:bookmarkStart w:id="1012" w:name="_Toc35425140"/>
      <w:bookmarkStart w:id="1013" w:name="_Toc35424974"/>
      <w:bookmarkStart w:id="1014" w:name="_Toc506107366"/>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pPr>
        <w:numPr>
          <w:ilvl w:val="0"/>
          <w:numId w:val="11"/>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，保证按照招标人要求开始实施本项目，按招标文件要求的时间内完成本合同的施工，并移交整个项目，项目质量达到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万元的投标保证金。如果我方在本投标书有效期内撤回投标书，或在中标通知书下达后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none"/>
          <w:lang w:val="en-US" w:eastAsia="zh-CN"/>
        </w:rPr>
        <w:t>万</w:t>
      </w:r>
      <w:r>
        <w:rPr>
          <w:rFonts w:hint="eastAsia" w:ascii="宋体" w:hAnsi="宋体"/>
          <w:color w:val="auto"/>
          <w:szCs w:val="21"/>
          <w:highlight w:val="none"/>
        </w:rPr>
        <w:t>元作为履约担保。项目验收合格后，方可退还。</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pPr>
        <w:spacing w:line="600" w:lineRule="exact"/>
        <w:ind w:firstLine="420" w:firstLineChars="200"/>
        <w:jc w:val="left"/>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11"/>
      <w:bookmarkEnd w:id="1012"/>
      <w:bookmarkEnd w:id="1013"/>
      <w:bookmarkEnd w:id="1014"/>
      <w:bookmarkStart w:id="1015" w:name="_Toc78803402"/>
    </w:p>
    <w:p>
      <w:pPr>
        <w:pStyle w:val="43"/>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招标单位、招标代理机构对本招标文件的确认</w:t>
      </w:r>
      <w:bookmarkEnd w:id="1015"/>
    </w:p>
    <w:p>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pPr>
              <w:wordWrap w:val="0"/>
              <w:adjustRightInd w:val="0"/>
              <w:snapToGrid w:val="0"/>
              <w:spacing w:line="560" w:lineRule="exact"/>
              <w:rPr>
                <w:color w:val="auto"/>
                <w:sz w:val="30"/>
                <w:highlight w:val="none"/>
              </w:rPr>
            </w:pPr>
          </w:p>
          <w:p>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巢东矿业环山路延伸及道路附属工程施工项目（二次）</w:t>
            </w:r>
            <w:r>
              <w:rPr>
                <w:rFonts w:hint="eastAsia"/>
                <w:color w:val="auto"/>
                <w:sz w:val="28"/>
                <w:szCs w:val="28"/>
                <w:highlight w:val="none"/>
                <w:u w:val="single"/>
              </w:rPr>
              <w:t xml:space="preserve"> </w:t>
            </w:r>
            <w:r>
              <w:rPr>
                <w:rFonts w:hint="eastAsia"/>
                <w:color w:val="auto"/>
                <w:sz w:val="28"/>
                <w:szCs w:val="28"/>
                <w:highlight w:val="none"/>
              </w:rPr>
              <w:t>的招标文件进行确认。</w:t>
            </w:r>
          </w:p>
          <w:p>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安徽巢东矿业高新材料有限责任公司</w:t>
            </w:r>
            <w:r>
              <w:rPr>
                <w:rFonts w:hint="eastAsia" w:ascii="宋体" w:hAnsi="宋体"/>
                <w:color w:val="auto"/>
                <w:sz w:val="28"/>
                <w:szCs w:val="28"/>
                <w:highlight w:val="none"/>
              </w:rPr>
              <w:t xml:space="preserve">  </w:t>
            </w:r>
          </w:p>
          <w:p>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许经理</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0550-2601587</w:t>
            </w:r>
          </w:p>
          <w:p>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pPr>
              <w:wordWrap w:val="0"/>
              <w:spacing w:line="560" w:lineRule="exact"/>
              <w:ind w:firstLine="560" w:firstLineChars="200"/>
              <w:rPr>
                <w:rFonts w:ascii="宋体" w:hAnsi="宋体"/>
                <w:color w:val="auto"/>
                <w:sz w:val="28"/>
                <w:szCs w:val="28"/>
                <w:highlight w:val="none"/>
              </w:rPr>
            </w:pPr>
          </w:p>
          <w:p>
            <w:pPr>
              <w:wordWrap w:val="0"/>
              <w:spacing w:line="560" w:lineRule="exact"/>
              <w:ind w:firstLine="560" w:firstLineChars="200"/>
              <w:rPr>
                <w:rFonts w:ascii="宋体" w:hAnsi="宋体"/>
                <w:color w:val="auto"/>
                <w:sz w:val="28"/>
                <w:szCs w:val="28"/>
                <w:highlight w:val="none"/>
              </w:rPr>
            </w:pPr>
          </w:p>
          <w:p>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pPr>
              <w:spacing w:line="560" w:lineRule="exact"/>
              <w:ind w:firstLine="5880" w:firstLineChars="2100"/>
              <w:rPr>
                <w:rFonts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p>
            <w:pPr>
              <w:pStyle w:val="14"/>
              <w:ind w:firstLine="42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pPr>
              <w:spacing w:line="560" w:lineRule="exact"/>
              <w:ind w:firstLine="560" w:firstLineChars="200"/>
              <w:rPr>
                <w:rFonts w:ascii="宋体" w:hAnsi="宋体" w:cs="宋体"/>
                <w:color w:val="auto"/>
                <w:sz w:val="28"/>
                <w:szCs w:val="28"/>
                <w:highlight w:val="none"/>
              </w:rPr>
            </w:pPr>
          </w:p>
          <w:p>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pPr>
              <w:spacing w:line="560" w:lineRule="exact"/>
              <w:ind w:firstLine="560" w:firstLineChars="200"/>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val="en-US" w:eastAsia="zh-CN"/>
              </w:rPr>
              <w:t>毕玉</w:t>
            </w:r>
          </w:p>
          <w:p>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eastAsia="zh-CN"/>
              </w:rPr>
              <w:t>0550-3519598、15385506369</w:t>
            </w:r>
          </w:p>
          <w:p>
            <w:pPr>
              <w:spacing w:line="560" w:lineRule="exact"/>
              <w:ind w:firstLine="5040" w:firstLineChars="1800"/>
              <w:rPr>
                <w:rFonts w:ascii="宋体" w:hAnsi="宋体" w:cs="宋体"/>
                <w:color w:val="auto"/>
                <w:sz w:val="28"/>
                <w:szCs w:val="28"/>
                <w:highlight w:val="none"/>
              </w:rPr>
            </w:pPr>
          </w:p>
          <w:p>
            <w:pPr>
              <w:spacing w:line="560" w:lineRule="exact"/>
              <w:ind w:firstLine="5460" w:firstLineChars="1950"/>
              <w:rPr>
                <w:rFonts w:ascii="宋体" w:hAnsi="宋体" w:cs="宋体"/>
                <w:color w:val="auto"/>
                <w:sz w:val="28"/>
                <w:szCs w:val="28"/>
                <w:highlight w:val="none"/>
              </w:rPr>
            </w:pPr>
          </w:p>
          <w:p>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pPr>
              <w:spacing w:line="560" w:lineRule="exact"/>
              <w:ind w:firstLine="6020" w:firstLineChars="2150"/>
              <w:rPr>
                <w:rFonts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p>
            <w:pPr>
              <w:pStyle w:val="14"/>
              <w:ind w:firstLine="420"/>
              <w:rPr>
                <w:color w:val="auto"/>
                <w:highlight w:val="none"/>
              </w:rPr>
            </w:pPr>
          </w:p>
        </w:tc>
      </w:tr>
    </w:tbl>
    <w:p>
      <w:pPr>
        <w:rPr>
          <w:color w:val="auto"/>
          <w:highlight w:val="none"/>
        </w:rPr>
      </w:pP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D5B19CE4"/>
    <w:multiLevelType w:val="singleLevel"/>
    <w:tmpl w:val="D5B19CE4"/>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A0C3A16"/>
    <w:multiLevelType w:val="singleLevel"/>
    <w:tmpl w:val="0A0C3A16"/>
    <w:lvl w:ilvl="0" w:tentative="0">
      <w:start w:val="1"/>
      <w:numFmt w:val="decimal"/>
      <w:suff w:val="nothing"/>
      <w:lvlText w:val="（%1）"/>
      <w:lvlJc w:val="left"/>
    </w:lvl>
  </w:abstractNum>
  <w:abstractNum w:abstractNumId="5">
    <w:nsid w:val="152B3C79"/>
    <w:multiLevelType w:val="singleLevel"/>
    <w:tmpl w:val="152B3C79"/>
    <w:lvl w:ilvl="0" w:tentative="0">
      <w:start w:val="1"/>
      <w:numFmt w:val="decimal"/>
      <w:suff w:val="nothing"/>
      <w:lvlText w:val="（%1）"/>
      <w:lvlJc w:val="left"/>
    </w:lvl>
  </w:abstractNum>
  <w:abstractNum w:abstractNumId="6">
    <w:nsid w:val="1E80E6C8"/>
    <w:multiLevelType w:val="singleLevel"/>
    <w:tmpl w:val="1E80E6C8"/>
    <w:lvl w:ilvl="0" w:tentative="0">
      <w:start w:val="3"/>
      <w:numFmt w:val="chineseCounting"/>
      <w:suff w:val="space"/>
      <w:lvlText w:val="第%1章"/>
      <w:lvlJc w:val="left"/>
      <w:rPr>
        <w:rFonts w:hint="eastAsia"/>
      </w:rPr>
    </w:lvl>
  </w:abstractNum>
  <w:abstractNum w:abstractNumId="7">
    <w:nsid w:val="21572EA5"/>
    <w:multiLevelType w:val="singleLevel"/>
    <w:tmpl w:val="21572EA5"/>
    <w:lvl w:ilvl="0" w:tentative="0">
      <w:start w:val="1"/>
      <w:numFmt w:val="decimal"/>
      <w:suff w:val="nothing"/>
      <w:lvlText w:val="%1、"/>
      <w:lvlJc w:val="left"/>
      <w:rPr>
        <w:rFonts w:hint="default" w:ascii="宋体" w:hAnsi="宋体" w:eastAsia="宋体" w:cs="宋体"/>
        <w:highlight w:val="none"/>
      </w:rPr>
    </w:lvl>
  </w:abstractNum>
  <w:abstractNum w:abstractNumId="8">
    <w:nsid w:val="2CFC1AFD"/>
    <w:multiLevelType w:val="singleLevel"/>
    <w:tmpl w:val="2CFC1AFD"/>
    <w:lvl w:ilvl="0" w:tentative="0">
      <w:start w:val="5"/>
      <w:numFmt w:val="chineseCounting"/>
      <w:suff w:val="space"/>
      <w:lvlText w:val="第%1章"/>
      <w:lvlJc w:val="left"/>
      <w:rPr>
        <w:rFonts w:hint="eastAsia"/>
      </w:rPr>
    </w:lvl>
  </w:abstractNum>
  <w:abstractNum w:abstractNumId="9">
    <w:nsid w:val="45A1E0C6"/>
    <w:multiLevelType w:val="singleLevel"/>
    <w:tmpl w:val="45A1E0C6"/>
    <w:lvl w:ilvl="0" w:tentative="0">
      <w:start w:val="10"/>
      <w:numFmt w:val="decimal"/>
      <w:suff w:val="nothing"/>
      <w:lvlText w:val="（%1）"/>
      <w:lvlJc w:val="left"/>
      <w:pPr>
        <w:tabs>
          <w:tab w:val="left" w:pos="0"/>
        </w:tabs>
        <w:ind w:left="0" w:firstLine="0"/>
      </w:pPr>
    </w:lvl>
  </w:abstractNum>
  <w:abstractNum w:abstractNumId="10">
    <w:nsid w:val="7CB0EA2D"/>
    <w:multiLevelType w:val="singleLevel"/>
    <w:tmpl w:val="7CB0EA2D"/>
    <w:lvl w:ilvl="0" w:tentative="0">
      <w:start w:val="1"/>
      <w:numFmt w:val="decimal"/>
      <w:suff w:val="nothing"/>
      <w:lvlText w:val="（%1）"/>
      <w:lvlJc w:val="left"/>
    </w:lvl>
  </w:abstractNum>
  <w:num w:numId="1">
    <w:abstractNumId w:val="7"/>
  </w:num>
  <w:num w:numId="2">
    <w:abstractNumId w:val="1"/>
  </w:num>
  <w:num w:numId="3">
    <w:abstractNumId w:val="2"/>
  </w:num>
  <w:num w:numId="4">
    <w:abstractNumId w:val="6"/>
  </w:num>
  <w:num w:numId="5">
    <w:abstractNumId w:val="10"/>
  </w:num>
  <w:num w:numId="6">
    <w:abstractNumId w:val="4"/>
  </w:num>
  <w:num w:numId="7">
    <w:abstractNumId w:val="9"/>
  </w:num>
  <w:num w:numId="8">
    <w:abstractNumId w:val="0"/>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Y2Y0ZDM4YWE5ZDY5ODM0OTEzNWM4ODQ4N2U4Mm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D0D24"/>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990787"/>
    <w:rsid w:val="0C992D4F"/>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6869FF"/>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A4BFB"/>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34F62"/>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D2B53"/>
    <w:rsid w:val="4481712B"/>
    <w:rsid w:val="44901E7E"/>
    <w:rsid w:val="449F54A7"/>
    <w:rsid w:val="44A1052F"/>
    <w:rsid w:val="44C93406"/>
    <w:rsid w:val="44D74994"/>
    <w:rsid w:val="44DD0E3B"/>
    <w:rsid w:val="44E67CEF"/>
    <w:rsid w:val="44F62875"/>
    <w:rsid w:val="45111EFE"/>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74C8C"/>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CB2"/>
    <w:rsid w:val="5BC16A09"/>
    <w:rsid w:val="5C012CC6"/>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83847"/>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8530EF"/>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3769"/>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51681"/>
    <w:rsid w:val="65B765E2"/>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816836"/>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2A7712"/>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F453C2"/>
    <w:rsid w:val="6DFC1EB9"/>
    <w:rsid w:val="6E25722B"/>
    <w:rsid w:val="6E3363CE"/>
    <w:rsid w:val="6E3C316F"/>
    <w:rsid w:val="6E453429"/>
    <w:rsid w:val="6E456275"/>
    <w:rsid w:val="6E4E36BD"/>
    <w:rsid w:val="6E5161B1"/>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2A3B5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2">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3"/>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2"/>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3"/>
    <w:autoRedefine/>
    <w:qFormat/>
    <w:uiPriority w:val="0"/>
    <w:pPr>
      <w:jc w:val="left"/>
    </w:pPr>
    <w:rPr>
      <w:rFonts w:ascii="黑体" w:hAnsi="黑体" w:eastAsia="黑体"/>
      <w:sz w:val="21"/>
    </w:rPr>
  </w:style>
  <w:style w:type="paragraph" w:customStyle="1" w:styleId="80">
    <w:name w:val="样式4"/>
    <w:basedOn w:val="2"/>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2"/>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2"/>
    <w:autoRedefine/>
    <w:qFormat/>
    <w:uiPriority w:val="0"/>
    <w:rPr>
      <w:rFonts w:eastAsia="Arial"/>
    </w:rPr>
  </w:style>
  <w:style w:type="paragraph" w:customStyle="1" w:styleId="98">
    <w:name w:val="样式 标题 3 + (中文) 黑体 小四 非加粗 段前: 7.8 磅 段后: 0 磅 行距: 固定值 20 磅"/>
    <w:basedOn w:val="2"/>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6"/>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2"/>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4"/>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79</Pages>
  <Words>35125</Words>
  <Characters>37111</Characters>
  <Lines>411</Lines>
  <Paragraphs>115</Paragraphs>
  <TotalTime>0</TotalTime>
  <ScaleCrop>false</ScaleCrop>
  <LinksUpToDate>false</LinksUpToDate>
  <CharactersWithSpaces>40086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朱启</cp:lastModifiedBy>
  <cp:lastPrinted>2023-06-08T00:43:00Z</cp:lastPrinted>
  <dcterms:modified xsi:type="dcterms:W3CDTF">2024-04-30T01:11:20Z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5730A33761724DDEB94D0C23544583CB_13</vt:lpwstr>
  </property>
</Properties>
</file>